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Theme="minorHAnsi" w:hAnsiTheme="minorHAnsi" w:eastAsiaTheme="minorEastAsia" w:cstheme="minorBidi"/>
          <w:bCs w:val="0"/>
          <w:color w:val="auto"/>
          <w:kern w:val="2"/>
          <w:sz w:val="21"/>
          <w:szCs w:val="22"/>
          <w:lang w:val="zh-CN"/>
        </w:rPr>
        <w:id w:val="-1863127628"/>
        <w:docPartObj>
          <w:docPartGallery w:val="Table of Contents"/>
          <w:docPartUnique/>
        </w:docPartObj>
      </w:sdtPr>
      <w:sdtEndPr>
        <w:rPr>
          <w:rFonts w:ascii="宋体" w:hAnsi="宋体" w:eastAsia="宋体" w:cstheme="minorBidi"/>
          <w:bCs w:val="0"/>
          <w:color w:val="auto"/>
          <w:kern w:val="2"/>
          <w:sz w:val="21"/>
          <w:szCs w:val="22"/>
          <w:lang w:val="zh-CN"/>
        </w:rPr>
      </w:sdtEndPr>
      <w:sdtContent>
        <w:p>
          <w:pPr>
            <w:pStyle w:val="24"/>
            <w:spacing w:before="156" w:beforeLines="50" w:line="800" w:lineRule="exact"/>
            <w:jc w:val="center"/>
            <w:rPr>
              <w:rFonts w:ascii="方正小标宋简体" w:eastAsia="方正小标宋简体"/>
              <w:color w:val="auto"/>
              <w:sz w:val="40"/>
              <w:szCs w:val="40"/>
              <w:lang w:val="zh-CN"/>
            </w:rPr>
          </w:pPr>
          <w:bookmarkStart w:id="76" w:name="_GoBack"/>
          <w:bookmarkEnd w:id="76"/>
          <w:r>
            <w:rPr>
              <w:rFonts w:hint="eastAsia" w:ascii="方正小标宋简体" w:eastAsia="方正小标宋简体"/>
              <w:color w:val="auto"/>
              <w:sz w:val="40"/>
              <w:szCs w:val="40"/>
              <w:lang w:val="zh-CN"/>
            </w:rPr>
            <w:t>中央音乐学院鼓浪屿钢琴学校</w:t>
          </w:r>
        </w:p>
        <w:p>
          <w:pPr>
            <w:pStyle w:val="24"/>
            <w:spacing w:before="0" w:line="800" w:lineRule="exact"/>
            <w:jc w:val="center"/>
            <w:rPr>
              <w:rFonts w:ascii="方正小标宋简体" w:eastAsia="方正小标宋简体"/>
              <w:color w:val="auto"/>
              <w:sz w:val="36"/>
              <w:szCs w:val="36"/>
              <w:lang w:val="zh-CN"/>
            </w:rPr>
          </w:pPr>
          <w:r>
            <w:rPr>
              <w:rFonts w:hint="eastAsia" w:ascii="方正小标宋简体" w:eastAsia="方正小标宋简体"/>
              <w:color w:val="auto"/>
              <w:sz w:val="40"/>
              <w:szCs w:val="40"/>
              <w:lang w:val="zh-CN"/>
            </w:rPr>
            <w:t>补充编内工作人员考试报考指南（2021年5月）</w:t>
          </w:r>
        </w:p>
        <w:p>
          <w:pPr>
            <w:pStyle w:val="24"/>
            <w:spacing w:before="0"/>
            <w:jc w:val="center"/>
            <w:rPr>
              <w:rFonts w:ascii="方正小标宋简体" w:eastAsia="方正小标宋简体"/>
              <w:color w:val="auto"/>
              <w:sz w:val="36"/>
              <w:szCs w:val="36"/>
              <w:lang w:val="zh-CN"/>
            </w:rPr>
          </w:pPr>
        </w:p>
        <w:p>
          <w:pPr>
            <w:pStyle w:val="24"/>
            <w:spacing w:before="0"/>
            <w:jc w:val="center"/>
            <w:rPr>
              <w:rFonts w:ascii="方正小标宋简体" w:eastAsia="方正小标宋简体"/>
              <w:color w:val="auto"/>
              <w:sz w:val="40"/>
              <w:szCs w:val="40"/>
            </w:rPr>
          </w:pPr>
          <w:r>
            <w:rPr>
              <w:rFonts w:hint="eastAsia" w:ascii="方正小标宋简体" w:eastAsia="方正小标宋简体"/>
              <w:color w:val="auto"/>
              <w:sz w:val="40"/>
              <w:szCs w:val="40"/>
              <w:lang w:val="zh-CN"/>
            </w:rPr>
            <w:t>目  录</w:t>
          </w:r>
        </w:p>
        <w:p>
          <w:pPr>
            <w:pStyle w:val="9"/>
            <w:tabs>
              <w:tab w:val="right" w:leader="dot" w:pos="8494"/>
            </w:tabs>
            <w:spacing w:line="500" w:lineRule="exact"/>
            <w:rPr>
              <w:rFonts w:ascii="仿宋" w:hAnsi="仿宋" w:eastAsia="仿宋"/>
              <w:kern w:val="2"/>
              <w:sz w:val="26"/>
              <w:szCs w:val="26"/>
            </w:rPr>
          </w:pPr>
          <w:r>
            <w:rPr>
              <w:rFonts w:ascii="宋体" w:hAnsi="宋体" w:eastAsia="宋体"/>
              <w:sz w:val="26"/>
              <w:szCs w:val="26"/>
            </w:rPr>
            <w:fldChar w:fldCharType="begin"/>
          </w:r>
          <w:r>
            <w:rPr>
              <w:rFonts w:ascii="宋体" w:hAnsi="宋体" w:eastAsia="宋体"/>
              <w:sz w:val="26"/>
              <w:szCs w:val="26"/>
            </w:rPr>
            <w:instrText xml:space="preserve"> TOC \o "1-3" \h \z \u </w:instrText>
          </w:r>
          <w:r>
            <w:rPr>
              <w:rFonts w:ascii="宋体" w:hAnsi="宋体" w:eastAsia="宋体"/>
              <w:sz w:val="26"/>
              <w:szCs w:val="26"/>
            </w:rPr>
            <w:fldChar w:fldCharType="separate"/>
          </w:r>
          <w:r>
            <w:fldChar w:fldCharType="begin"/>
          </w:r>
          <w:r>
            <w:instrText xml:space="preserve"> HYPERLINK \l "_Toc69889231" </w:instrText>
          </w:r>
          <w:r>
            <w:fldChar w:fldCharType="separate"/>
          </w:r>
          <w:r>
            <w:rPr>
              <w:rStyle w:val="15"/>
              <w:rFonts w:hint="eastAsia" w:ascii="仿宋" w:hAnsi="仿宋" w:eastAsia="仿宋"/>
              <w:b/>
              <w:sz w:val="26"/>
              <w:szCs w:val="26"/>
            </w:rPr>
            <w:t>一、基本条件</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_Toc69889231 \h </w:instrText>
          </w:r>
          <w:r>
            <w:rPr>
              <w:rFonts w:ascii="仿宋" w:hAnsi="仿宋" w:eastAsia="仿宋"/>
              <w:sz w:val="26"/>
              <w:szCs w:val="26"/>
            </w:rPr>
            <w:fldChar w:fldCharType="separate"/>
          </w:r>
          <w:r>
            <w:rPr>
              <w:rFonts w:ascii="仿宋" w:hAnsi="仿宋" w:eastAsia="仿宋"/>
              <w:sz w:val="26"/>
              <w:szCs w:val="26"/>
            </w:rPr>
            <w:t>3</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"_Toc69889232" </w:instrText>
          </w:r>
          <w:r>
            <w:fldChar w:fldCharType="separate"/>
          </w:r>
          <w:r>
            <w:rPr>
              <w:rStyle w:val="15"/>
              <w:rFonts w:hint="eastAsia" w:ascii="仿宋" w:hAnsi="仿宋" w:eastAsia="仿宋"/>
              <w:b/>
              <w:sz w:val="26"/>
              <w:szCs w:val="26"/>
            </w:rPr>
            <w:t>二、不得报考或取消报考（聘用）资格的情形</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_Toc69889232 \h </w:instrText>
          </w:r>
          <w:r>
            <w:rPr>
              <w:rFonts w:ascii="仿宋" w:hAnsi="仿宋" w:eastAsia="仿宋"/>
              <w:sz w:val="26"/>
              <w:szCs w:val="26"/>
            </w:rPr>
            <w:fldChar w:fldCharType="separate"/>
          </w:r>
          <w:r>
            <w:rPr>
              <w:rFonts w:ascii="仿宋" w:hAnsi="仿宋" w:eastAsia="仿宋"/>
              <w:sz w:val="26"/>
              <w:szCs w:val="26"/>
            </w:rPr>
            <w:t>3</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"_Toc69889233" </w:instrText>
          </w:r>
          <w:r>
            <w:fldChar w:fldCharType="separate"/>
          </w:r>
          <w:r>
            <w:rPr>
              <w:rStyle w:val="15"/>
              <w:rFonts w:hint="eastAsia" w:ascii="仿宋" w:hAnsi="仿宋" w:eastAsia="仿宋"/>
              <w:b/>
              <w:sz w:val="26"/>
              <w:szCs w:val="26"/>
            </w:rPr>
            <w:t>三、选报岗位须知</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_Toc69889233 \h </w:instrText>
          </w:r>
          <w:r>
            <w:rPr>
              <w:rFonts w:ascii="仿宋" w:hAnsi="仿宋" w:eastAsia="仿宋"/>
              <w:sz w:val="26"/>
              <w:szCs w:val="26"/>
            </w:rPr>
            <w:fldChar w:fldCharType="separate"/>
          </w:r>
          <w:r>
            <w:rPr>
              <w:rFonts w:ascii="仿宋" w:hAnsi="仿宋" w:eastAsia="仿宋"/>
              <w:sz w:val="26"/>
              <w:szCs w:val="26"/>
            </w:rPr>
            <w:t>5</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"_Toc69889234" </w:instrText>
          </w:r>
          <w:r>
            <w:fldChar w:fldCharType="separate"/>
          </w:r>
          <w:r>
            <w:rPr>
              <w:rStyle w:val="15"/>
              <w:rFonts w:hint="eastAsia" w:ascii="仿宋" w:hAnsi="仿宋" w:eastAsia="仿宋"/>
              <w:sz w:val="26"/>
              <w:szCs w:val="26"/>
            </w:rPr>
            <w:t>（一）岗位资格条件确认</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_Toc69889234 \h </w:instrText>
          </w:r>
          <w:r>
            <w:rPr>
              <w:rFonts w:ascii="仿宋" w:hAnsi="仿宋" w:eastAsia="仿宋"/>
              <w:sz w:val="26"/>
              <w:szCs w:val="26"/>
            </w:rPr>
            <w:fldChar w:fldCharType="separate"/>
          </w:r>
          <w:r>
            <w:rPr>
              <w:rFonts w:ascii="仿宋" w:hAnsi="仿宋" w:eastAsia="仿宋"/>
              <w:sz w:val="26"/>
              <w:szCs w:val="26"/>
            </w:rPr>
            <w:t>5</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"_Toc69889235" </w:instrText>
          </w:r>
          <w:r>
            <w:fldChar w:fldCharType="separate"/>
          </w:r>
          <w:r>
            <w:rPr>
              <w:rStyle w:val="15"/>
              <w:rFonts w:hint="eastAsia" w:ascii="仿宋" w:hAnsi="仿宋" w:eastAsia="仿宋"/>
              <w:sz w:val="26"/>
              <w:szCs w:val="26"/>
            </w:rPr>
            <w:t>（二）材料提交</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_Toc69889235 \h </w:instrText>
          </w:r>
          <w:r>
            <w:rPr>
              <w:rFonts w:ascii="仿宋" w:hAnsi="仿宋" w:eastAsia="仿宋"/>
              <w:sz w:val="26"/>
              <w:szCs w:val="26"/>
            </w:rPr>
            <w:fldChar w:fldCharType="separate"/>
          </w:r>
          <w:r>
            <w:rPr>
              <w:rFonts w:ascii="仿宋" w:hAnsi="仿宋" w:eastAsia="仿宋"/>
              <w:sz w:val="26"/>
              <w:szCs w:val="26"/>
            </w:rPr>
            <w:t>5</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"_Toc69889236" </w:instrText>
          </w:r>
          <w:r>
            <w:fldChar w:fldCharType="separate"/>
          </w:r>
          <w:r>
            <w:rPr>
              <w:rStyle w:val="15"/>
              <w:rFonts w:hint="eastAsia" w:ascii="仿宋" w:hAnsi="仿宋" w:eastAsia="仿宋"/>
              <w:sz w:val="26"/>
              <w:szCs w:val="26"/>
            </w:rPr>
            <w:t>（三）个人简历</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_Toc69889236 \h </w:instrText>
          </w:r>
          <w:r>
            <w:rPr>
              <w:rFonts w:ascii="仿宋" w:hAnsi="仿宋" w:eastAsia="仿宋"/>
              <w:sz w:val="26"/>
              <w:szCs w:val="26"/>
            </w:rPr>
            <w:fldChar w:fldCharType="separate"/>
          </w:r>
          <w:r>
            <w:rPr>
              <w:rFonts w:ascii="仿宋" w:hAnsi="仿宋" w:eastAsia="仿宋"/>
              <w:sz w:val="26"/>
              <w:szCs w:val="26"/>
            </w:rPr>
            <w:t>5</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"_Toc69889237" </w:instrText>
          </w:r>
          <w:r>
            <w:fldChar w:fldCharType="separate"/>
          </w:r>
          <w:r>
            <w:rPr>
              <w:rStyle w:val="15"/>
              <w:rFonts w:hint="eastAsia" w:ascii="仿宋" w:hAnsi="仿宋" w:eastAsia="仿宋"/>
              <w:sz w:val="26"/>
              <w:szCs w:val="26"/>
            </w:rPr>
            <w:t>（四）回避情形</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_Toc69889237 \h </w:instrText>
          </w:r>
          <w:r>
            <w:rPr>
              <w:rFonts w:ascii="仿宋" w:hAnsi="仿宋" w:eastAsia="仿宋"/>
              <w:sz w:val="26"/>
              <w:szCs w:val="26"/>
            </w:rPr>
            <w:fldChar w:fldCharType="separate"/>
          </w:r>
          <w:r>
            <w:rPr>
              <w:rFonts w:ascii="仿宋" w:hAnsi="仿宋" w:eastAsia="仿宋"/>
              <w:sz w:val="26"/>
              <w:szCs w:val="26"/>
            </w:rPr>
            <w:t>5</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"_Toc69889238" </w:instrText>
          </w:r>
          <w:r>
            <w:fldChar w:fldCharType="separate"/>
          </w:r>
          <w:r>
            <w:rPr>
              <w:rStyle w:val="15"/>
              <w:rFonts w:hint="eastAsia" w:ascii="仿宋" w:hAnsi="仿宋" w:eastAsia="仿宋"/>
              <w:b/>
              <w:sz w:val="26"/>
              <w:szCs w:val="26"/>
            </w:rPr>
            <w:t>四、年龄、资格（历）等的计算办法</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_Toc69889238 \h </w:instrText>
          </w:r>
          <w:r>
            <w:rPr>
              <w:rFonts w:ascii="仿宋" w:hAnsi="仿宋" w:eastAsia="仿宋"/>
              <w:sz w:val="26"/>
              <w:szCs w:val="26"/>
            </w:rPr>
            <w:fldChar w:fldCharType="separate"/>
          </w:r>
          <w:r>
            <w:rPr>
              <w:rFonts w:ascii="仿宋" w:hAnsi="仿宋" w:eastAsia="仿宋"/>
              <w:sz w:val="26"/>
              <w:szCs w:val="26"/>
            </w:rPr>
            <w:t>7</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"_Toc69889239" </w:instrText>
          </w:r>
          <w:r>
            <w:fldChar w:fldCharType="separate"/>
          </w:r>
          <w:r>
            <w:rPr>
              <w:rStyle w:val="15"/>
              <w:rFonts w:hint="eastAsia" w:ascii="仿宋" w:hAnsi="仿宋" w:eastAsia="仿宋"/>
              <w:b/>
              <w:sz w:val="26"/>
              <w:szCs w:val="26"/>
            </w:rPr>
            <w:t>五、学历（位）认定</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_Toc69889239 \h </w:instrText>
          </w:r>
          <w:r>
            <w:rPr>
              <w:rFonts w:ascii="仿宋" w:hAnsi="仿宋" w:eastAsia="仿宋"/>
              <w:sz w:val="26"/>
              <w:szCs w:val="26"/>
            </w:rPr>
            <w:fldChar w:fldCharType="separate"/>
          </w:r>
          <w:r>
            <w:rPr>
              <w:rFonts w:ascii="仿宋" w:hAnsi="仿宋" w:eastAsia="仿宋"/>
              <w:sz w:val="26"/>
              <w:szCs w:val="26"/>
            </w:rPr>
            <w:t>7</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"_Toc69889240" </w:instrText>
          </w:r>
          <w:r>
            <w:fldChar w:fldCharType="separate"/>
          </w:r>
          <w:r>
            <w:rPr>
              <w:rStyle w:val="15"/>
              <w:rFonts w:hint="eastAsia" w:ascii="仿宋" w:hAnsi="仿宋" w:eastAsia="仿宋"/>
              <w:sz w:val="26"/>
              <w:szCs w:val="26"/>
            </w:rPr>
            <w:t>（一）境内学历（位）</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_Toc69889240 \h </w:instrText>
          </w:r>
          <w:r>
            <w:rPr>
              <w:rFonts w:ascii="仿宋" w:hAnsi="仿宋" w:eastAsia="仿宋"/>
              <w:sz w:val="26"/>
              <w:szCs w:val="26"/>
            </w:rPr>
            <w:fldChar w:fldCharType="separate"/>
          </w:r>
          <w:r>
            <w:rPr>
              <w:rFonts w:ascii="仿宋" w:hAnsi="仿宋" w:eastAsia="仿宋"/>
              <w:sz w:val="26"/>
              <w:szCs w:val="26"/>
            </w:rPr>
            <w:t>7</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"_Toc69889241" </w:instrText>
          </w:r>
          <w:r>
            <w:fldChar w:fldCharType="separate"/>
          </w:r>
          <w:r>
            <w:rPr>
              <w:rStyle w:val="15"/>
              <w:rFonts w:hint="eastAsia" w:ascii="仿宋" w:hAnsi="仿宋" w:eastAsia="仿宋"/>
              <w:sz w:val="26"/>
              <w:szCs w:val="26"/>
            </w:rPr>
            <w:t>（二）境外学历（位）</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_Toc69889241 \h </w:instrText>
          </w:r>
          <w:r>
            <w:rPr>
              <w:rFonts w:ascii="仿宋" w:hAnsi="仿宋" w:eastAsia="仿宋"/>
              <w:sz w:val="26"/>
              <w:szCs w:val="26"/>
            </w:rPr>
            <w:fldChar w:fldCharType="separate"/>
          </w:r>
          <w:r>
            <w:rPr>
              <w:rFonts w:ascii="仿宋" w:hAnsi="仿宋" w:eastAsia="仿宋"/>
              <w:sz w:val="26"/>
              <w:szCs w:val="26"/>
            </w:rPr>
            <w:t>7</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"_Toc69889242" </w:instrText>
          </w:r>
          <w:r>
            <w:fldChar w:fldCharType="separate"/>
          </w:r>
          <w:r>
            <w:rPr>
              <w:rStyle w:val="15"/>
              <w:rFonts w:hint="eastAsia" w:ascii="仿宋" w:hAnsi="仿宋" w:eastAsia="仿宋"/>
              <w:sz w:val="26"/>
              <w:szCs w:val="26"/>
            </w:rPr>
            <w:t>（三）我省“双学位”“双专业”学历</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_Toc69889242 \h </w:instrText>
          </w:r>
          <w:r>
            <w:rPr>
              <w:rFonts w:ascii="仿宋" w:hAnsi="仿宋" w:eastAsia="仿宋"/>
              <w:sz w:val="26"/>
              <w:szCs w:val="26"/>
            </w:rPr>
            <w:fldChar w:fldCharType="separate"/>
          </w:r>
          <w:r>
            <w:rPr>
              <w:rFonts w:ascii="仿宋" w:hAnsi="仿宋" w:eastAsia="仿宋"/>
              <w:sz w:val="26"/>
              <w:szCs w:val="26"/>
            </w:rPr>
            <w:t>8</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"_Toc69889243" </w:instrText>
          </w:r>
          <w:r>
            <w:fldChar w:fldCharType="separate"/>
          </w:r>
          <w:r>
            <w:rPr>
              <w:rStyle w:val="15"/>
              <w:rFonts w:hint="eastAsia" w:ascii="仿宋" w:hAnsi="仿宋" w:eastAsia="仿宋"/>
              <w:sz w:val="26"/>
              <w:szCs w:val="26"/>
            </w:rPr>
            <w:t>（四）提醒事项</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_Toc69889243 \h </w:instrText>
          </w:r>
          <w:r>
            <w:rPr>
              <w:rFonts w:ascii="仿宋" w:hAnsi="仿宋" w:eastAsia="仿宋"/>
              <w:sz w:val="26"/>
              <w:szCs w:val="26"/>
            </w:rPr>
            <w:fldChar w:fldCharType="separate"/>
          </w:r>
          <w:r>
            <w:rPr>
              <w:rFonts w:ascii="仿宋" w:hAnsi="仿宋" w:eastAsia="仿宋"/>
              <w:sz w:val="26"/>
              <w:szCs w:val="26"/>
            </w:rPr>
            <w:t>8</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"_Toc69889244" </w:instrText>
          </w:r>
          <w:r>
            <w:fldChar w:fldCharType="separate"/>
          </w:r>
          <w:r>
            <w:rPr>
              <w:rStyle w:val="15"/>
              <w:rFonts w:hint="eastAsia" w:ascii="仿宋" w:hAnsi="仿宋" w:eastAsia="仿宋"/>
              <w:b/>
              <w:sz w:val="26"/>
              <w:szCs w:val="26"/>
            </w:rPr>
            <w:t>六、专业</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_Toc69889244 \h </w:instrText>
          </w:r>
          <w:r>
            <w:rPr>
              <w:rFonts w:ascii="仿宋" w:hAnsi="仿宋" w:eastAsia="仿宋"/>
              <w:sz w:val="26"/>
              <w:szCs w:val="26"/>
            </w:rPr>
            <w:fldChar w:fldCharType="separate"/>
          </w:r>
          <w:r>
            <w:rPr>
              <w:rFonts w:ascii="仿宋" w:hAnsi="仿宋" w:eastAsia="仿宋"/>
              <w:sz w:val="26"/>
              <w:szCs w:val="26"/>
            </w:rPr>
            <w:t>8</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"_Toc69889245" </w:instrText>
          </w:r>
          <w:r>
            <w:fldChar w:fldCharType="separate"/>
          </w:r>
          <w:r>
            <w:rPr>
              <w:rStyle w:val="15"/>
              <w:rFonts w:hint="eastAsia" w:ascii="仿宋" w:hAnsi="仿宋" w:eastAsia="仿宋"/>
              <w:sz w:val="26"/>
              <w:szCs w:val="26"/>
            </w:rPr>
            <w:t>（一）填报专业名称</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_Toc69889245 \h </w:instrText>
          </w:r>
          <w:r>
            <w:rPr>
              <w:rFonts w:ascii="仿宋" w:hAnsi="仿宋" w:eastAsia="仿宋"/>
              <w:sz w:val="26"/>
              <w:szCs w:val="26"/>
            </w:rPr>
            <w:fldChar w:fldCharType="separate"/>
          </w:r>
          <w:r>
            <w:rPr>
              <w:rFonts w:ascii="仿宋" w:hAnsi="仿宋" w:eastAsia="仿宋"/>
              <w:sz w:val="26"/>
              <w:szCs w:val="26"/>
            </w:rPr>
            <w:t>9</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"_Toc69889246" </w:instrText>
          </w:r>
          <w:r>
            <w:fldChar w:fldCharType="separate"/>
          </w:r>
          <w:r>
            <w:rPr>
              <w:rStyle w:val="15"/>
              <w:rFonts w:hint="eastAsia" w:ascii="仿宋" w:hAnsi="仿宋" w:eastAsia="仿宋"/>
              <w:sz w:val="26"/>
              <w:szCs w:val="26"/>
            </w:rPr>
            <w:t>（二）专业与学历（位）的对应关系</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_Toc69889246 \h </w:instrText>
          </w:r>
          <w:r>
            <w:rPr>
              <w:rFonts w:ascii="仿宋" w:hAnsi="仿宋" w:eastAsia="仿宋"/>
              <w:sz w:val="26"/>
              <w:szCs w:val="26"/>
            </w:rPr>
            <w:fldChar w:fldCharType="separate"/>
          </w:r>
          <w:r>
            <w:rPr>
              <w:rFonts w:ascii="仿宋" w:hAnsi="仿宋" w:eastAsia="仿宋"/>
              <w:sz w:val="26"/>
              <w:szCs w:val="26"/>
            </w:rPr>
            <w:t>9</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"_Toc69889247" </w:instrText>
          </w:r>
          <w:r>
            <w:fldChar w:fldCharType="separate"/>
          </w:r>
          <w:r>
            <w:rPr>
              <w:rStyle w:val="15"/>
              <w:rFonts w:hint="eastAsia" w:ascii="仿宋" w:hAnsi="仿宋" w:eastAsia="仿宋"/>
              <w:sz w:val="26"/>
              <w:szCs w:val="26"/>
            </w:rPr>
            <w:t>（三）专业资格的认定</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_Toc69889247 \h </w:instrText>
          </w:r>
          <w:r>
            <w:rPr>
              <w:rFonts w:ascii="仿宋" w:hAnsi="仿宋" w:eastAsia="仿宋"/>
              <w:sz w:val="26"/>
              <w:szCs w:val="26"/>
            </w:rPr>
            <w:fldChar w:fldCharType="separate"/>
          </w:r>
          <w:r>
            <w:rPr>
              <w:rFonts w:ascii="仿宋" w:hAnsi="仿宋" w:eastAsia="仿宋"/>
              <w:sz w:val="26"/>
              <w:szCs w:val="26"/>
            </w:rPr>
            <w:t>9</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"_Toc69889248" </w:instrText>
          </w:r>
          <w:r>
            <w:fldChar w:fldCharType="separate"/>
          </w:r>
          <w:r>
            <w:rPr>
              <w:rStyle w:val="15"/>
              <w:rFonts w:hint="eastAsia" w:ascii="仿宋" w:hAnsi="仿宋" w:eastAsia="仿宋"/>
              <w:b/>
              <w:sz w:val="26"/>
              <w:szCs w:val="26"/>
            </w:rPr>
            <w:t>七、开考比例</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_Toc69889248 \h </w:instrText>
          </w:r>
          <w:r>
            <w:rPr>
              <w:rFonts w:ascii="仿宋" w:hAnsi="仿宋" w:eastAsia="仿宋"/>
              <w:sz w:val="26"/>
              <w:szCs w:val="26"/>
            </w:rPr>
            <w:fldChar w:fldCharType="separate"/>
          </w:r>
          <w:r>
            <w:rPr>
              <w:rFonts w:ascii="仿宋" w:hAnsi="仿宋" w:eastAsia="仿宋"/>
              <w:sz w:val="26"/>
              <w:szCs w:val="26"/>
            </w:rPr>
            <w:t>10</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"_Toc69889249" </w:instrText>
          </w:r>
          <w:r>
            <w:fldChar w:fldCharType="separate"/>
          </w:r>
          <w:r>
            <w:rPr>
              <w:rStyle w:val="15"/>
              <w:rFonts w:hint="eastAsia" w:ascii="仿宋" w:hAnsi="仿宋" w:eastAsia="仿宋"/>
              <w:sz w:val="26"/>
              <w:szCs w:val="26"/>
            </w:rPr>
            <w:t>（一）可降低比例开考情形</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_Toc69889249 \h </w:instrText>
          </w:r>
          <w:r>
            <w:rPr>
              <w:rFonts w:ascii="仿宋" w:hAnsi="仿宋" w:eastAsia="仿宋"/>
              <w:sz w:val="26"/>
              <w:szCs w:val="26"/>
            </w:rPr>
            <w:fldChar w:fldCharType="separate"/>
          </w:r>
          <w:r>
            <w:rPr>
              <w:rFonts w:ascii="仿宋" w:hAnsi="仿宋" w:eastAsia="仿宋"/>
              <w:sz w:val="26"/>
              <w:szCs w:val="26"/>
            </w:rPr>
            <w:t>10</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"_Toc69889250" </w:instrText>
          </w:r>
          <w:r>
            <w:fldChar w:fldCharType="separate"/>
          </w:r>
          <w:r>
            <w:rPr>
              <w:rStyle w:val="15"/>
              <w:rFonts w:hint="eastAsia" w:ascii="仿宋" w:hAnsi="仿宋" w:eastAsia="仿宋"/>
              <w:sz w:val="26"/>
              <w:szCs w:val="26"/>
            </w:rPr>
            <w:t>（二）开考情况</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_Toc69889250 \h </w:instrText>
          </w:r>
          <w:r>
            <w:rPr>
              <w:rFonts w:ascii="仿宋" w:hAnsi="仿宋" w:eastAsia="仿宋"/>
              <w:sz w:val="26"/>
              <w:szCs w:val="26"/>
            </w:rPr>
            <w:fldChar w:fldCharType="separate"/>
          </w:r>
          <w:r>
            <w:rPr>
              <w:rFonts w:ascii="仿宋" w:hAnsi="仿宋" w:eastAsia="仿宋"/>
              <w:sz w:val="26"/>
              <w:szCs w:val="26"/>
            </w:rPr>
            <w:t>10</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"_Toc69889251" </w:instrText>
          </w:r>
          <w:r>
            <w:fldChar w:fldCharType="separate"/>
          </w:r>
          <w:r>
            <w:rPr>
              <w:rStyle w:val="15"/>
              <w:rFonts w:hint="eastAsia" w:ascii="仿宋" w:hAnsi="仿宋" w:eastAsia="仿宋"/>
              <w:b/>
              <w:sz w:val="26"/>
              <w:szCs w:val="26"/>
            </w:rPr>
            <w:t>八、笔试加分</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_Toc69889251 \h </w:instrText>
          </w:r>
          <w:r>
            <w:rPr>
              <w:rFonts w:ascii="仿宋" w:hAnsi="仿宋" w:eastAsia="仿宋"/>
              <w:sz w:val="26"/>
              <w:szCs w:val="26"/>
            </w:rPr>
            <w:fldChar w:fldCharType="separate"/>
          </w:r>
          <w:r>
            <w:rPr>
              <w:rFonts w:ascii="仿宋" w:hAnsi="仿宋" w:eastAsia="仿宋"/>
              <w:sz w:val="26"/>
              <w:szCs w:val="26"/>
            </w:rPr>
            <w:t>10</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"_Toc69889252" </w:instrText>
          </w:r>
          <w:r>
            <w:fldChar w:fldCharType="separate"/>
          </w:r>
          <w:r>
            <w:rPr>
              <w:rStyle w:val="15"/>
              <w:rFonts w:hint="eastAsia" w:ascii="仿宋" w:hAnsi="仿宋" w:eastAsia="仿宋"/>
              <w:sz w:val="26"/>
              <w:szCs w:val="26"/>
            </w:rPr>
            <w:t>（一）加分原则</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_Toc69889252 \h </w:instrText>
          </w:r>
          <w:r>
            <w:rPr>
              <w:rFonts w:ascii="仿宋" w:hAnsi="仿宋" w:eastAsia="仿宋"/>
              <w:sz w:val="26"/>
              <w:szCs w:val="26"/>
            </w:rPr>
            <w:fldChar w:fldCharType="separate"/>
          </w:r>
          <w:r>
            <w:rPr>
              <w:rFonts w:ascii="仿宋" w:hAnsi="仿宋" w:eastAsia="仿宋"/>
              <w:sz w:val="26"/>
              <w:szCs w:val="26"/>
            </w:rPr>
            <w:t>10</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"_Toc69889253" </w:instrText>
          </w:r>
          <w:r>
            <w:fldChar w:fldCharType="separate"/>
          </w:r>
          <w:r>
            <w:rPr>
              <w:rStyle w:val="15"/>
              <w:rFonts w:hint="eastAsia" w:ascii="仿宋" w:hAnsi="仿宋" w:eastAsia="仿宋"/>
              <w:sz w:val="26"/>
              <w:szCs w:val="26"/>
            </w:rPr>
            <w:t>（二）加分对象</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_Toc69889253 \h </w:instrText>
          </w:r>
          <w:r>
            <w:rPr>
              <w:rFonts w:ascii="仿宋" w:hAnsi="仿宋" w:eastAsia="仿宋"/>
              <w:sz w:val="26"/>
              <w:szCs w:val="26"/>
            </w:rPr>
            <w:fldChar w:fldCharType="separate"/>
          </w:r>
          <w:r>
            <w:rPr>
              <w:rFonts w:ascii="仿宋" w:hAnsi="仿宋" w:eastAsia="仿宋"/>
              <w:sz w:val="26"/>
              <w:szCs w:val="26"/>
            </w:rPr>
            <w:t>10</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"_Toc69889254" </w:instrText>
          </w:r>
          <w:r>
            <w:fldChar w:fldCharType="separate"/>
          </w:r>
          <w:r>
            <w:rPr>
              <w:rStyle w:val="15"/>
              <w:rFonts w:hint="eastAsia" w:ascii="仿宋" w:hAnsi="仿宋" w:eastAsia="仿宋"/>
              <w:sz w:val="26"/>
              <w:szCs w:val="26"/>
            </w:rPr>
            <w:t>（三）加分证明材料</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_Toc69889254 \h </w:instrText>
          </w:r>
          <w:r>
            <w:rPr>
              <w:rFonts w:ascii="仿宋" w:hAnsi="仿宋" w:eastAsia="仿宋"/>
              <w:sz w:val="26"/>
              <w:szCs w:val="26"/>
            </w:rPr>
            <w:fldChar w:fldCharType="separate"/>
          </w:r>
          <w:r>
            <w:rPr>
              <w:rFonts w:ascii="仿宋" w:hAnsi="仿宋" w:eastAsia="仿宋"/>
              <w:sz w:val="26"/>
              <w:szCs w:val="26"/>
            </w:rPr>
            <w:t>12</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"_Toc69889255" </w:instrText>
          </w:r>
          <w:r>
            <w:fldChar w:fldCharType="separate"/>
          </w:r>
          <w:r>
            <w:rPr>
              <w:rStyle w:val="15"/>
              <w:rFonts w:hint="eastAsia" w:ascii="仿宋" w:hAnsi="仿宋" w:eastAsia="仿宋"/>
              <w:b/>
              <w:sz w:val="26"/>
              <w:szCs w:val="26"/>
            </w:rPr>
            <w:t>九、综合总分计算</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_Toc69889255 \h </w:instrText>
          </w:r>
          <w:r>
            <w:rPr>
              <w:rFonts w:ascii="仿宋" w:hAnsi="仿宋" w:eastAsia="仿宋"/>
              <w:sz w:val="26"/>
              <w:szCs w:val="26"/>
            </w:rPr>
            <w:fldChar w:fldCharType="separate"/>
          </w:r>
          <w:r>
            <w:rPr>
              <w:rFonts w:ascii="仿宋" w:hAnsi="仿宋" w:eastAsia="仿宋"/>
              <w:sz w:val="26"/>
              <w:szCs w:val="26"/>
            </w:rPr>
            <w:t>13</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"_Toc69889256" </w:instrText>
          </w:r>
          <w:r>
            <w:fldChar w:fldCharType="separate"/>
          </w:r>
          <w:r>
            <w:rPr>
              <w:rStyle w:val="15"/>
              <w:rFonts w:hint="eastAsia" w:ascii="仿宋" w:hAnsi="仿宋" w:eastAsia="仿宋"/>
              <w:b/>
              <w:sz w:val="26"/>
              <w:szCs w:val="26"/>
            </w:rPr>
            <w:t>十、体检和考察</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_Toc69889256 \h </w:instrText>
          </w:r>
          <w:r>
            <w:rPr>
              <w:rFonts w:ascii="仿宋" w:hAnsi="仿宋" w:eastAsia="仿宋"/>
              <w:sz w:val="26"/>
              <w:szCs w:val="26"/>
            </w:rPr>
            <w:fldChar w:fldCharType="separate"/>
          </w:r>
          <w:r>
            <w:rPr>
              <w:rFonts w:ascii="仿宋" w:hAnsi="仿宋" w:eastAsia="仿宋"/>
              <w:sz w:val="26"/>
              <w:szCs w:val="26"/>
            </w:rPr>
            <w:t>14</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"_Toc69889257" </w:instrText>
          </w:r>
          <w:r>
            <w:fldChar w:fldCharType="separate"/>
          </w:r>
          <w:r>
            <w:rPr>
              <w:rStyle w:val="15"/>
              <w:rFonts w:hint="eastAsia" w:ascii="仿宋" w:hAnsi="仿宋" w:eastAsia="仿宋"/>
              <w:sz w:val="26"/>
              <w:szCs w:val="26"/>
            </w:rPr>
            <w:t>（一）确定体检和考察人选</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_Toc69889257 \h </w:instrText>
          </w:r>
          <w:r>
            <w:rPr>
              <w:rFonts w:ascii="仿宋" w:hAnsi="仿宋" w:eastAsia="仿宋"/>
              <w:sz w:val="26"/>
              <w:szCs w:val="26"/>
            </w:rPr>
            <w:fldChar w:fldCharType="separate"/>
          </w:r>
          <w:r>
            <w:rPr>
              <w:rFonts w:ascii="仿宋" w:hAnsi="仿宋" w:eastAsia="仿宋"/>
              <w:sz w:val="26"/>
              <w:szCs w:val="26"/>
            </w:rPr>
            <w:t>14</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"_Toc69889258" </w:instrText>
          </w:r>
          <w:r>
            <w:fldChar w:fldCharType="separate"/>
          </w:r>
          <w:r>
            <w:rPr>
              <w:rStyle w:val="15"/>
              <w:rFonts w:hint="eastAsia" w:ascii="仿宋" w:hAnsi="仿宋" w:eastAsia="仿宋"/>
              <w:sz w:val="26"/>
              <w:szCs w:val="26"/>
            </w:rPr>
            <w:t>（二）组织体检和考察</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_Toc69889258 \h </w:instrText>
          </w:r>
          <w:r>
            <w:rPr>
              <w:rFonts w:ascii="仿宋" w:hAnsi="仿宋" w:eastAsia="仿宋"/>
              <w:sz w:val="26"/>
              <w:szCs w:val="26"/>
            </w:rPr>
            <w:fldChar w:fldCharType="separate"/>
          </w:r>
          <w:r>
            <w:rPr>
              <w:rFonts w:ascii="仿宋" w:hAnsi="仿宋" w:eastAsia="仿宋"/>
              <w:sz w:val="26"/>
              <w:szCs w:val="26"/>
            </w:rPr>
            <w:t>14</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"_Toc69889259" </w:instrText>
          </w:r>
          <w:r>
            <w:fldChar w:fldCharType="separate"/>
          </w:r>
          <w:r>
            <w:rPr>
              <w:rStyle w:val="15"/>
              <w:rFonts w:hint="eastAsia" w:ascii="仿宋" w:hAnsi="仿宋" w:eastAsia="仿宋"/>
              <w:sz w:val="26"/>
              <w:szCs w:val="26"/>
            </w:rPr>
            <w:t>（三）体检</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_Toc69889259 \h </w:instrText>
          </w:r>
          <w:r>
            <w:rPr>
              <w:rFonts w:ascii="仿宋" w:hAnsi="仿宋" w:eastAsia="仿宋"/>
              <w:sz w:val="26"/>
              <w:szCs w:val="26"/>
            </w:rPr>
            <w:fldChar w:fldCharType="separate"/>
          </w:r>
          <w:r>
            <w:rPr>
              <w:rFonts w:ascii="仿宋" w:hAnsi="仿宋" w:eastAsia="仿宋"/>
              <w:sz w:val="26"/>
              <w:szCs w:val="26"/>
            </w:rPr>
            <w:t>14</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"_Toc69889260" </w:instrText>
          </w:r>
          <w:r>
            <w:fldChar w:fldCharType="separate"/>
          </w:r>
          <w:r>
            <w:rPr>
              <w:rStyle w:val="15"/>
              <w:rFonts w:hint="eastAsia" w:ascii="仿宋" w:hAnsi="仿宋" w:eastAsia="仿宋"/>
              <w:sz w:val="26"/>
              <w:szCs w:val="26"/>
            </w:rPr>
            <w:t>（四）考察</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_Toc69889260 \h </w:instrText>
          </w:r>
          <w:r>
            <w:rPr>
              <w:rFonts w:ascii="仿宋" w:hAnsi="仿宋" w:eastAsia="仿宋"/>
              <w:sz w:val="26"/>
              <w:szCs w:val="26"/>
            </w:rPr>
            <w:fldChar w:fldCharType="separate"/>
          </w:r>
          <w:r>
            <w:rPr>
              <w:rFonts w:ascii="仿宋" w:hAnsi="仿宋" w:eastAsia="仿宋"/>
              <w:sz w:val="26"/>
              <w:szCs w:val="26"/>
            </w:rPr>
            <w:t>14</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"_Toc69889261" </w:instrText>
          </w:r>
          <w:r>
            <w:fldChar w:fldCharType="separate"/>
          </w:r>
          <w:r>
            <w:rPr>
              <w:rStyle w:val="15"/>
              <w:rFonts w:hint="eastAsia" w:ascii="仿宋" w:hAnsi="仿宋" w:eastAsia="仿宋"/>
              <w:b/>
              <w:sz w:val="26"/>
              <w:szCs w:val="26"/>
            </w:rPr>
            <w:t>十一、拟聘用公示</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_Toc69889261 \h </w:instrText>
          </w:r>
          <w:r>
            <w:rPr>
              <w:rFonts w:ascii="仿宋" w:hAnsi="仿宋" w:eastAsia="仿宋"/>
              <w:sz w:val="26"/>
              <w:szCs w:val="26"/>
            </w:rPr>
            <w:fldChar w:fldCharType="separate"/>
          </w:r>
          <w:r>
            <w:rPr>
              <w:rFonts w:ascii="仿宋" w:hAnsi="仿宋" w:eastAsia="仿宋"/>
              <w:sz w:val="26"/>
              <w:szCs w:val="26"/>
            </w:rPr>
            <w:t>15</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"_Toc69889262" </w:instrText>
          </w:r>
          <w:r>
            <w:fldChar w:fldCharType="separate"/>
          </w:r>
          <w:r>
            <w:rPr>
              <w:rStyle w:val="15"/>
              <w:rFonts w:hint="eastAsia" w:ascii="仿宋" w:hAnsi="仿宋" w:eastAsia="仿宋"/>
              <w:b/>
              <w:sz w:val="26"/>
              <w:szCs w:val="26"/>
            </w:rPr>
            <w:t>十二、聘用</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_Toc69889262 \h </w:instrText>
          </w:r>
          <w:r>
            <w:rPr>
              <w:rFonts w:ascii="仿宋" w:hAnsi="仿宋" w:eastAsia="仿宋"/>
              <w:sz w:val="26"/>
              <w:szCs w:val="26"/>
            </w:rPr>
            <w:fldChar w:fldCharType="separate"/>
          </w:r>
          <w:r>
            <w:rPr>
              <w:rFonts w:ascii="仿宋" w:hAnsi="仿宋" w:eastAsia="仿宋"/>
              <w:sz w:val="26"/>
              <w:szCs w:val="26"/>
            </w:rPr>
            <w:t>15</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"_Toc69889263" </w:instrText>
          </w:r>
          <w:r>
            <w:fldChar w:fldCharType="separate"/>
          </w:r>
          <w:r>
            <w:rPr>
              <w:rStyle w:val="15"/>
              <w:rFonts w:hint="eastAsia" w:ascii="仿宋" w:hAnsi="仿宋" w:eastAsia="仿宋"/>
              <w:sz w:val="26"/>
              <w:szCs w:val="26"/>
            </w:rPr>
            <w:t>（一）聘用手续办理</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_Toc69889263 \h </w:instrText>
          </w:r>
          <w:r>
            <w:rPr>
              <w:rFonts w:ascii="仿宋" w:hAnsi="仿宋" w:eastAsia="仿宋"/>
              <w:sz w:val="26"/>
              <w:szCs w:val="26"/>
            </w:rPr>
            <w:fldChar w:fldCharType="separate"/>
          </w:r>
          <w:r>
            <w:rPr>
              <w:rFonts w:ascii="仿宋" w:hAnsi="仿宋" w:eastAsia="仿宋"/>
              <w:sz w:val="26"/>
              <w:szCs w:val="26"/>
            </w:rPr>
            <w:t>15</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"_Toc69889264" </w:instrText>
          </w:r>
          <w:r>
            <w:fldChar w:fldCharType="separate"/>
          </w:r>
          <w:r>
            <w:rPr>
              <w:rStyle w:val="15"/>
              <w:rFonts w:hint="eastAsia" w:ascii="仿宋" w:hAnsi="仿宋" w:eastAsia="仿宋"/>
              <w:sz w:val="26"/>
              <w:szCs w:val="26"/>
            </w:rPr>
            <w:t>（二）岗位聘任</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_Toc69889264 \h </w:instrText>
          </w:r>
          <w:r>
            <w:rPr>
              <w:rFonts w:ascii="仿宋" w:hAnsi="仿宋" w:eastAsia="仿宋"/>
              <w:sz w:val="26"/>
              <w:szCs w:val="26"/>
            </w:rPr>
            <w:fldChar w:fldCharType="separate"/>
          </w:r>
          <w:r>
            <w:rPr>
              <w:rFonts w:ascii="仿宋" w:hAnsi="仿宋" w:eastAsia="仿宋"/>
              <w:sz w:val="26"/>
              <w:szCs w:val="26"/>
            </w:rPr>
            <w:t>16</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rFonts w:ascii="仿宋" w:hAnsi="仿宋" w:eastAsia="仿宋"/>
              <w:kern w:val="2"/>
              <w:sz w:val="26"/>
              <w:szCs w:val="26"/>
            </w:rPr>
          </w:pPr>
          <w:r>
            <w:fldChar w:fldCharType="begin"/>
          </w:r>
          <w:r>
            <w:instrText xml:space="preserve"> HYPERLINK \l "_Toc69889265" </w:instrText>
          </w:r>
          <w:r>
            <w:fldChar w:fldCharType="separate"/>
          </w:r>
          <w:r>
            <w:rPr>
              <w:rStyle w:val="15"/>
              <w:rFonts w:hint="eastAsia" w:ascii="仿宋" w:hAnsi="仿宋" w:eastAsia="仿宋"/>
              <w:b/>
              <w:sz w:val="26"/>
              <w:szCs w:val="26"/>
            </w:rPr>
            <w:t>十三、其他事项</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_Toc69889265 \h </w:instrText>
          </w:r>
          <w:r>
            <w:rPr>
              <w:rFonts w:ascii="仿宋" w:hAnsi="仿宋" w:eastAsia="仿宋"/>
              <w:sz w:val="26"/>
              <w:szCs w:val="26"/>
            </w:rPr>
            <w:fldChar w:fldCharType="separate"/>
          </w:r>
          <w:r>
            <w:rPr>
              <w:rFonts w:ascii="仿宋" w:hAnsi="仿宋" w:eastAsia="仿宋"/>
              <w:sz w:val="26"/>
              <w:szCs w:val="26"/>
            </w:rPr>
            <w:t>16</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"_Toc69889266" </w:instrText>
          </w:r>
          <w:r>
            <w:fldChar w:fldCharType="separate"/>
          </w:r>
          <w:r>
            <w:rPr>
              <w:rStyle w:val="15"/>
              <w:rFonts w:hint="eastAsia" w:ascii="仿宋" w:hAnsi="仿宋" w:eastAsia="仿宋"/>
              <w:sz w:val="26"/>
              <w:szCs w:val="26"/>
            </w:rPr>
            <w:t>（一）户籍、生源</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_Toc69889266 \h </w:instrText>
          </w:r>
          <w:r>
            <w:rPr>
              <w:rFonts w:ascii="仿宋" w:hAnsi="仿宋" w:eastAsia="仿宋"/>
              <w:sz w:val="26"/>
              <w:szCs w:val="26"/>
            </w:rPr>
            <w:fldChar w:fldCharType="separate"/>
          </w:r>
          <w:r>
            <w:rPr>
              <w:rFonts w:ascii="仿宋" w:hAnsi="仿宋" w:eastAsia="仿宋"/>
              <w:sz w:val="26"/>
              <w:szCs w:val="26"/>
            </w:rPr>
            <w:t>16</w:t>
          </w:r>
          <w:r>
            <w:rPr>
              <w:rFonts w:ascii="仿宋" w:hAnsi="仿宋" w:eastAsia="仿宋"/>
              <w:sz w:val="26"/>
              <w:szCs w:val="26"/>
            </w:rPr>
            <w:fldChar w:fldCharType="end"/>
          </w:r>
          <w:r>
            <w:rPr>
              <w:rFonts w:ascii="仿宋" w:hAnsi="仿宋" w:eastAsia="仿宋"/>
              <w:sz w:val="26"/>
              <w:szCs w:val="26"/>
            </w:rPr>
            <w:fldChar w:fldCharType="end"/>
          </w:r>
        </w:p>
        <w:p>
          <w:pPr>
            <w:pStyle w:val="10"/>
            <w:tabs>
              <w:tab w:val="right" w:leader="dot" w:pos="8494"/>
            </w:tabs>
            <w:spacing w:line="500" w:lineRule="exact"/>
            <w:rPr>
              <w:rFonts w:ascii="仿宋" w:hAnsi="仿宋" w:eastAsia="仿宋"/>
              <w:kern w:val="2"/>
              <w:sz w:val="26"/>
              <w:szCs w:val="26"/>
            </w:rPr>
          </w:pPr>
          <w:r>
            <w:fldChar w:fldCharType="begin"/>
          </w:r>
          <w:r>
            <w:instrText xml:space="preserve"> HYPERLINK \l "_Toc69889267" </w:instrText>
          </w:r>
          <w:r>
            <w:fldChar w:fldCharType="separate"/>
          </w:r>
          <w:r>
            <w:rPr>
              <w:rStyle w:val="15"/>
              <w:rFonts w:hint="eastAsia" w:ascii="仿宋" w:hAnsi="仿宋" w:eastAsia="仿宋"/>
              <w:sz w:val="26"/>
              <w:szCs w:val="26"/>
            </w:rPr>
            <w:t>（二）港澳台人员</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_Toc69889267 \h </w:instrText>
          </w:r>
          <w:r>
            <w:rPr>
              <w:rFonts w:ascii="仿宋" w:hAnsi="仿宋" w:eastAsia="仿宋"/>
              <w:sz w:val="26"/>
              <w:szCs w:val="26"/>
            </w:rPr>
            <w:fldChar w:fldCharType="separate"/>
          </w:r>
          <w:r>
            <w:rPr>
              <w:rFonts w:ascii="仿宋" w:hAnsi="仿宋" w:eastAsia="仿宋"/>
              <w:sz w:val="26"/>
              <w:szCs w:val="26"/>
            </w:rPr>
            <w:t>17</w:t>
          </w:r>
          <w:r>
            <w:rPr>
              <w:rFonts w:ascii="仿宋" w:hAnsi="仿宋" w:eastAsia="仿宋"/>
              <w:sz w:val="26"/>
              <w:szCs w:val="26"/>
            </w:rPr>
            <w:fldChar w:fldCharType="end"/>
          </w:r>
          <w:r>
            <w:rPr>
              <w:rFonts w:ascii="仿宋" w:hAnsi="仿宋" w:eastAsia="仿宋"/>
              <w:sz w:val="26"/>
              <w:szCs w:val="26"/>
            </w:rPr>
            <w:fldChar w:fldCharType="end"/>
          </w:r>
        </w:p>
        <w:p>
          <w:pPr>
            <w:pStyle w:val="9"/>
            <w:tabs>
              <w:tab w:val="right" w:leader="dot" w:pos="8494"/>
            </w:tabs>
            <w:spacing w:line="500" w:lineRule="exact"/>
            <w:rPr>
              <w:kern w:val="2"/>
              <w:sz w:val="26"/>
              <w:szCs w:val="26"/>
            </w:rPr>
          </w:pPr>
          <w:r>
            <w:fldChar w:fldCharType="begin"/>
          </w:r>
          <w:r>
            <w:instrText xml:space="preserve"> HYPERLINK \l "_Toc69889268" </w:instrText>
          </w:r>
          <w:r>
            <w:fldChar w:fldCharType="separate"/>
          </w:r>
          <w:r>
            <w:rPr>
              <w:rStyle w:val="15"/>
              <w:rFonts w:hint="eastAsia" w:ascii="仿宋" w:hAnsi="仿宋" w:eastAsia="仿宋"/>
              <w:b/>
              <w:sz w:val="26"/>
              <w:szCs w:val="26"/>
            </w:rPr>
            <w:t>十四、疫情防控要求</w:t>
          </w:r>
          <w:r>
            <w:rPr>
              <w:rFonts w:ascii="仿宋" w:hAnsi="仿宋" w:eastAsia="仿宋"/>
              <w:sz w:val="26"/>
              <w:szCs w:val="26"/>
            </w:rPr>
            <w:tab/>
          </w:r>
          <w:r>
            <w:rPr>
              <w:rFonts w:ascii="仿宋" w:hAnsi="仿宋" w:eastAsia="仿宋"/>
              <w:sz w:val="26"/>
              <w:szCs w:val="26"/>
            </w:rPr>
            <w:fldChar w:fldCharType="begin"/>
          </w:r>
          <w:r>
            <w:rPr>
              <w:rFonts w:ascii="仿宋" w:hAnsi="仿宋" w:eastAsia="仿宋"/>
              <w:sz w:val="26"/>
              <w:szCs w:val="26"/>
            </w:rPr>
            <w:instrText xml:space="preserve"> PAGEREF _Toc69889268 \h </w:instrText>
          </w:r>
          <w:r>
            <w:rPr>
              <w:rFonts w:ascii="仿宋" w:hAnsi="仿宋" w:eastAsia="仿宋"/>
              <w:sz w:val="26"/>
              <w:szCs w:val="26"/>
            </w:rPr>
            <w:fldChar w:fldCharType="separate"/>
          </w:r>
          <w:r>
            <w:rPr>
              <w:rFonts w:ascii="仿宋" w:hAnsi="仿宋" w:eastAsia="仿宋"/>
              <w:sz w:val="26"/>
              <w:szCs w:val="26"/>
            </w:rPr>
            <w:t>17</w:t>
          </w:r>
          <w:r>
            <w:rPr>
              <w:rFonts w:ascii="仿宋" w:hAnsi="仿宋" w:eastAsia="仿宋"/>
              <w:sz w:val="26"/>
              <w:szCs w:val="26"/>
            </w:rPr>
            <w:fldChar w:fldCharType="end"/>
          </w:r>
          <w:r>
            <w:rPr>
              <w:rFonts w:ascii="仿宋" w:hAnsi="仿宋" w:eastAsia="仿宋"/>
              <w:sz w:val="26"/>
              <w:szCs w:val="26"/>
            </w:rPr>
            <w:fldChar w:fldCharType="end"/>
          </w:r>
        </w:p>
        <w:p>
          <w:pPr>
            <w:spacing w:line="500" w:lineRule="exact"/>
            <w:rPr>
              <w:rFonts w:ascii="宋体" w:hAnsi="宋体" w:eastAsia="宋体"/>
            </w:rPr>
          </w:pPr>
          <w:r>
            <w:rPr>
              <w:rFonts w:ascii="宋体" w:hAnsi="宋体" w:eastAsia="宋体"/>
              <w:bCs/>
              <w:sz w:val="26"/>
              <w:szCs w:val="26"/>
              <w:lang w:val="zh-CN"/>
            </w:rPr>
            <w:fldChar w:fldCharType="end"/>
          </w:r>
        </w:p>
      </w:sdtContent>
    </w:sdt>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为帮助报考者详细了解报考政策、相关事项及提醒需要注意的有关事项，按照做好常态化疫情防控前提下事业单位公开招聘工作的要求，根据事业单位招聘有关规定，经厦门市教育局批准，中央音乐学院鼓浪屿钢琴学校（以下简称鼓浪屿钢琴学校）编写了《中央音乐学院鼓浪屿钢琴学校补充编内工作人员考试报考指南（2021年5月）》。本指南仅适用于2021年鼓浪屿钢琴学校招聘编内工作人员考试，由鼓浪屿钢琴学校及主管部门负责解释。</w:t>
      </w:r>
    </w:p>
    <w:p>
      <w:pPr>
        <w:pStyle w:val="2"/>
        <w:ind w:firstLine="640" w:firstLineChars="200"/>
      </w:pPr>
      <w:bookmarkStart w:id="0" w:name="_Toc23043_WPSOffice_Level1"/>
      <w:bookmarkStart w:id="1" w:name="_Toc69889231"/>
      <w:r>
        <w:rPr>
          <w:rFonts w:hint="eastAsia"/>
        </w:rPr>
        <w:t>一、基本条件</w:t>
      </w:r>
      <w:bookmarkEnd w:id="0"/>
      <w:bookmarkEnd w:id="1"/>
    </w:p>
    <w:p>
      <w:pPr>
        <w:pStyle w:val="11"/>
        <w:spacing w:before="0" w:beforeAutospacing="0" w:after="0" w:afterAutospacing="0" w:line="480" w:lineRule="atLeast"/>
        <w:ind w:firstLine="640" w:firstLineChars="200"/>
        <w:rPr>
          <w:rFonts w:ascii="仿宋" w:hAnsi="仿宋" w:eastAsia="仿宋" w:cstheme="minorBidi"/>
          <w:kern w:val="2"/>
          <w:sz w:val="32"/>
          <w:szCs w:val="32"/>
        </w:rPr>
      </w:pPr>
      <w:bookmarkStart w:id="2" w:name="_Toc69889232"/>
      <w:bookmarkStart w:id="3" w:name="_Toc19262_WPSOffice_Level1"/>
      <w:r>
        <w:rPr>
          <w:rFonts w:hint="eastAsia" w:ascii="仿宋" w:hAnsi="仿宋" w:eastAsia="仿宋" w:cstheme="minorBidi"/>
          <w:kern w:val="2"/>
          <w:sz w:val="32"/>
          <w:szCs w:val="32"/>
        </w:rPr>
        <w:t>（一）具有中华人民共和国国籍；</w:t>
      </w:r>
    </w:p>
    <w:p>
      <w:pPr>
        <w:pStyle w:val="11"/>
        <w:spacing w:before="0" w:beforeAutospacing="0" w:after="0" w:afterAutospacing="0" w:line="480" w:lineRule="atLeast"/>
        <w:ind w:firstLine="640" w:firstLineChars="200"/>
        <w:rPr>
          <w:rFonts w:ascii="仿宋" w:hAnsi="仿宋" w:eastAsia="仿宋" w:cstheme="minorBidi"/>
          <w:kern w:val="2"/>
          <w:sz w:val="32"/>
          <w:szCs w:val="32"/>
        </w:rPr>
      </w:pPr>
      <w:r>
        <w:rPr>
          <w:rFonts w:hint="eastAsia" w:ascii="仿宋" w:hAnsi="仿宋" w:eastAsia="仿宋" w:cstheme="minorBidi"/>
          <w:kern w:val="2"/>
          <w:sz w:val="32"/>
          <w:szCs w:val="32"/>
        </w:rPr>
        <w:t>（二）拥护中华人民共和国宪法；拥护中国共产党领导和社会主义制度;</w:t>
      </w:r>
    </w:p>
    <w:p>
      <w:pPr>
        <w:pStyle w:val="11"/>
        <w:spacing w:before="0" w:beforeAutospacing="0" w:after="0" w:afterAutospacing="0" w:line="480" w:lineRule="atLeast"/>
        <w:ind w:firstLine="640" w:firstLineChars="200"/>
        <w:rPr>
          <w:rFonts w:ascii="仿宋" w:hAnsi="仿宋" w:eastAsia="仿宋" w:cstheme="minorBidi"/>
          <w:kern w:val="2"/>
          <w:sz w:val="32"/>
          <w:szCs w:val="32"/>
        </w:rPr>
      </w:pPr>
      <w:r>
        <w:rPr>
          <w:rFonts w:hint="eastAsia" w:ascii="仿宋" w:hAnsi="仿宋" w:eastAsia="仿宋" w:cstheme="minorBidi"/>
          <w:kern w:val="2"/>
          <w:sz w:val="32"/>
          <w:szCs w:val="32"/>
        </w:rPr>
        <w:t>（三）具有良好的政治素质和道德品行;</w:t>
      </w:r>
    </w:p>
    <w:p>
      <w:pPr>
        <w:pStyle w:val="11"/>
        <w:spacing w:before="0" w:beforeAutospacing="0" w:after="0" w:afterAutospacing="0" w:line="480" w:lineRule="atLeast"/>
        <w:ind w:firstLine="640" w:firstLineChars="200"/>
        <w:rPr>
          <w:rFonts w:ascii="仿宋" w:hAnsi="仿宋" w:eastAsia="仿宋" w:cstheme="minorBidi"/>
          <w:kern w:val="2"/>
          <w:sz w:val="32"/>
          <w:szCs w:val="32"/>
        </w:rPr>
      </w:pPr>
      <w:r>
        <w:rPr>
          <w:rFonts w:hint="eastAsia" w:ascii="仿宋" w:hAnsi="仿宋" w:eastAsia="仿宋" w:cstheme="minorBidi"/>
          <w:kern w:val="2"/>
          <w:sz w:val="32"/>
          <w:szCs w:val="32"/>
        </w:rPr>
        <w:t>（四）热爱教育事业、具备良好的职业道德;</w:t>
      </w:r>
    </w:p>
    <w:p>
      <w:pPr>
        <w:pStyle w:val="11"/>
        <w:spacing w:before="0" w:beforeAutospacing="0" w:after="0" w:afterAutospacing="0" w:line="480" w:lineRule="atLeast"/>
        <w:ind w:firstLine="640" w:firstLineChars="200"/>
        <w:rPr>
          <w:rFonts w:ascii="仿宋" w:hAnsi="仿宋" w:eastAsia="仿宋" w:cstheme="minorBidi"/>
          <w:kern w:val="2"/>
          <w:sz w:val="32"/>
          <w:szCs w:val="32"/>
        </w:rPr>
      </w:pPr>
      <w:r>
        <w:rPr>
          <w:rFonts w:hint="eastAsia" w:ascii="仿宋" w:hAnsi="仿宋" w:eastAsia="仿宋" w:cstheme="minorBidi"/>
          <w:kern w:val="2"/>
          <w:sz w:val="32"/>
          <w:szCs w:val="32"/>
        </w:rPr>
        <w:t>（五）具有正常履行职责的身体条件和心理素质；</w:t>
      </w:r>
    </w:p>
    <w:p>
      <w:pPr>
        <w:pStyle w:val="11"/>
        <w:spacing w:before="0" w:beforeAutospacing="0" w:after="0" w:afterAutospacing="0" w:line="480" w:lineRule="atLeast"/>
        <w:ind w:firstLine="640" w:firstLineChars="200"/>
        <w:rPr>
          <w:rFonts w:ascii="仿宋" w:hAnsi="仿宋" w:eastAsia="仿宋" w:cstheme="minorBidi"/>
          <w:kern w:val="2"/>
          <w:sz w:val="32"/>
          <w:szCs w:val="32"/>
        </w:rPr>
      </w:pPr>
      <w:r>
        <w:rPr>
          <w:rFonts w:hint="eastAsia" w:ascii="仿宋" w:hAnsi="仿宋" w:eastAsia="仿宋" w:cstheme="minorBidi"/>
          <w:kern w:val="2"/>
          <w:sz w:val="32"/>
          <w:szCs w:val="32"/>
        </w:rPr>
        <w:t>（六）具备招聘岗位设置的资格条件。</w:t>
      </w:r>
    </w:p>
    <w:p>
      <w:pPr>
        <w:pStyle w:val="2"/>
        <w:ind w:firstLine="640" w:firstLineChars="200"/>
      </w:pPr>
      <w:r>
        <w:rPr>
          <w:rFonts w:hint="eastAsia"/>
        </w:rPr>
        <w:t>二、不得报考或取消报考（聘用）资格的情形</w:t>
      </w:r>
      <w:bookmarkEnd w:id="2"/>
      <w:bookmarkEnd w:id="3"/>
    </w:p>
    <w:p>
      <w:pPr>
        <w:pStyle w:val="11"/>
        <w:spacing w:before="0" w:beforeAutospacing="0" w:after="0" w:afterAutospacing="0" w:line="480" w:lineRule="atLeast"/>
        <w:ind w:firstLine="640" w:firstLineChars="200"/>
        <w:rPr>
          <w:rFonts w:ascii="仿宋" w:hAnsi="仿宋" w:eastAsia="仿宋"/>
          <w:sz w:val="32"/>
          <w:szCs w:val="32"/>
        </w:rPr>
      </w:pPr>
      <w:bookmarkStart w:id="4" w:name="_Toc4207_WPSOffice_Level1"/>
      <w:r>
        <w:rPr>
          <w:rFonts w:hint="eastAsia" w:ascii="仿宋" w:hAnsi="仿宋" w:eastAsia="仿宋"/>
          <w:sz w:val="32"/>
          <w:szCs w:val="32"/>
        </w:rPr>
        <w:t>（一）因犯罪受过刑事处罚的;</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（二）被开除中国共产党党籍的;</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（三）被开除公职的;</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（四）被依法列为失信联合惩戒对象的;</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（五）在各级招考中被认定有舞弊等严重违反录用纪律行为的;</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（六）公务员或参公人员被辞退未满5年的;</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（七）考录后服务年限不满2年(含试用期)以及未达到与当地公务员主管部门或所在单位组织人事部门约定服务年限的公务员或参公人员;</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（八）报名时不是试用期内公务员或参公人员，但在报名之后、聘用之前成为试用期内公务员或参公人员的，取消其考试或聘用资格。</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（九）现役军人；</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（十）在读的非2021年应届毕业生；</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（十一）本市在编教师；</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（十二）涉嫌违法犯罪正在接受司法调查尚未做出结论的，或尚未解除党（政）纪处分的，或正在接受纪律审查的；</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（十三）聘用后即构成回避关系的;</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（十四）</w:t>
      </w:r>
      <w:r>
        <w:rPr>
          <w:rFonts w:hint="eastAsia" w:ascii="仿宋_GB2312" w:eastAsia="仿宋_GB2312"/>
          <w:sz w:val="32"/>
          <w:szCs w:val="32"/>
        </w:rPr>
        <w:t>法律法规规章规定不得聘为事业单位人员的</w:t>
      </w:r>
      <w:r>
        <w:rPr>
          <w:rFonts w:hint="eastAsia" w:ascii="仿宋" w:hAnsi="仿宋" w:eastAsia="仿宋"/>
          <w:sz w:val="32"/>
          <w:szCs w:val="32"/>
        </w:rPr>
        <w:t>。</w:t>
      </w:r>
    </w:p>
    <w:p>
      <w:pPr>
        <w:pStyle w:val="11"/>
        <w:spacing w:before="0" w:beforeAutospacing="0" w:after="0" w:afterAutospacing="0" w:line="480" w:lineRule="atLeast"/>
        <w:ind w:firstLine="640" w:firstLineChars="200"/>
        <w:rPr>
          <w:rFonts w:ascii="仿宋" w:hAnsi="仿宋" w:eastAsia="仿宋"/>
          <w:sz w:val="32"/>
          <w:szCs w:val="32"/>
        </w:rPr>
      </w:pPr>
      <w:r>
        <w:rPr>
          <w:rFonts w:hint="eastAsia" w:ascii="仿宋" w:hAnsi="仿宋" w:eastAsia="仿宋"/>
          <w:sz w:val="32"/>
          <w:szCs w:val="32"/>
        </w:rPr>
        <w:t>对报考人员资格审核贯穿考试、聘用全过程，一经发现报考人员不符合本次招考公告规定或不符合招聘岗位资格条件或提供虚假信息的，根据不同阶段，给予取消考试资格、聘用资格或单方解除聘用合同等处理。</w:t>
      </w:r>
    </w:p>
    <w:p>
      <w:pPr>
        <w:pStyle w:val="2"/>
        <w:ind w:firstLine="640" w:firstLineChars="200"/>
      </w:pPr>
      <w:bookmarkStart w:id="5" w:name="_Toc69889233"/>
      <w:r>
        <w:rPr>
          <w:rFonts w:hint="eastAsia"/>
        </w:rPr>
        <w:t>三、选报岗位须知</w:t>
      </w:r>
      <w:bookmarkEnd w:id="4"/>
      <w:bookmarkEnd w:id="5"/>
    </w:p>
    <w:p>
      <w:pPr>
        <w:pStyle w:val="3"/>
        <w:ind w:firstLine="520" w:firstLineChars="162"/>
        <w:rPr>
          <w:b/>
        </w:rPr>
      </w:pPr>
      <w:bookmarkStart w:id="6" w:name="_Toc21063_WPSOffice_Level2"/>
      <w:bookmarkStart w:id="7" w:name="_Toc69889234"/>
      <w:r>
        <w:rPr>
          <w:rFonts w:hint="eastAsia"/>
          <w:b/>
        </w:rPr>
        <w:t>（一）岗位资格条件确认</w:t>
      </w:r>
      <w:bookmarkEnd w:id="6"/>
      <w:bookmarkEnd w:id="7"/>
    </w:p>
    <w:p>
      <w:pPr>
        <w:spacing w:line="600" w:lineRule="exact"/>
        <w:ind w:firstLine="640" w:firstLineChars="200"/>
        <w:rPr>
          <w:rFonts w:ascii="仿宋" w:hAnsi="仿宋" w:eastAsia="仿宋"/>
          <w:sz w:val="32"/>
          <w:szCs w:val="32"/>
        </w:rPr>
      </w:pPr>
      <w:r>
        <w:rPr>
          <w:rFonts w:hint="eastAsia" w:ascii="仿宋" w:hAnsi="仿宋" w:eastAsia="仿宋"/>
          <w:sz w:val="32"/>
          <w:szCs w:val="32"/>
        </w:rPr>
        <w:t>1.报考者须在报名时，全面、逐项对照招聘岗位和招聘简章等要求，确认符合报考岗位资格条件。</w:t>
      </w:r>
    </w:p>
    <w:p>
      <w:pPr>
        <w:spacing w:line="600" w:lineRule="exact"/>
        <w:ind w:firstLine="640" w:firstLineChars="200"/>
        <w:rPr>
          <w:rFonts w:ascii="仿宋_GB2312" w:eastAsia="仿宋_GB2312"/>
          <w:sz w:val="32"/>
          <w:szCs w:val="32"/>
          <w:highlight w:val="red"/>
        </w:rPr>
      </w:pPr>
      <w:r>
        <w:rPr>
          <w:rFonts w:hint="eastAsia" w:ascii="仿宋" w:hAnsi="仿宋" w:eastAsia="仿宋"/>
          <w:sz w:val="32"/>
          <w:szCs w:val="32"/>
        </w:rPr>
        <w:t>2.本次考试每名报考者只能报考1个岗位，通过资格初审后不得更改，并以通过资格初审的岗位参加考试。</w:t>
      </w:r>
    </w:p>
    <w:p>
      <w:pPr>
        <w:pStyle w:val="3"/>
        <w:ind w:firstLine="520" w:firstLineChars="162"/>
        <w:rPr>
          <w:b/>
        </w:rPr>
      </w:pPr>
      <w:bookmarkStart w:id="8" w:name="_Toc19635_WPSOffice_Level2"/>
      <w:bookmarkStart w:id="9" w:name="_Toc69889235"/>
      <w:r>
        <w:rPr>
          <w:rFonts w:hint="eastAsia"/>
          <w:b/>
        </w:rPr>
        <w:t>（二）</w:t>
      </w:r>
      <w:bookmarkEnd w:id="8"/>
      <w:r>
        <w:rPr>
          <w:rFonts w:hint="eastAsia"/>
          <w:b/>
        </w:rPr>
        <w:t>材料提交</w:t>
      </w:r>
      <w:bookmarkEnd w:id="9"/>
    </w:p>
    <w:p>
      <w:pPr>
        <w:spacing w:line="600" w:lineRule="exact"/>
        <w:ind w:firstLine="640" w:firstLineChars="200"/>
        <w:rPr>
          <w:rFonts w:ascii="仿宋_GB2312" w:eastAsia="仿宋_GB2312"/>
          <w:sz w:val="32"/>
          <w:szCs w:val="32"/>
          <w:highlight w:val="red"/>
        </w:rPr>
      </w:pPr>
      <w:r>
        <w:rPr>
          <w:rFonts w:hint="eastAsia" w:ascii="仿宋" w:hAnsi="仿宋" w:eastAsia="仿宋"/>
          <w:sz w:val="32"/>
          <w:szCs w:val="32"/>
        </w:rPr>
        <w:t>网上报名时所提交附件材料要求原件扫描件或拍照上传（jpg格式），上传材料要求清晰，易于辨认。</w:t>
      </w:r>
    </w:p>
    <w:p>
      <w:pPr>
        <w:pStyle w:val="3"/>
        <w:ind w:firstLine="520" w:firstLineChars="162"/>
        <w:rPr>
          <w:b/>
        </w:rPr>
      </w:pPr>
      <w:bookmarkStart w:id="10" w:name="_Toc18950_WPSOffice_Level2"/>
      <w:bookmarkStart w:id="11" w:name="_Toc69889236"/>
      <w:r>
        <w:rPr>
          <w:rFonts w:hint="eastAsia"/>
          <w:b/>
        </w:rPr>
        <w:t>（三）个人简历</w:t>
      </w:r>
      <w:bookmarkEnd w:id="10"/>
      <w:bookmarkEnd w:id="11"/>
    </w:p>
    <w:p>
      <w:pPr>
        <w:spacing w:line="600" w:lineRule="exact"/>
        <w:ind w:firstLine="640" w:firstLineChars="200"/>
        <w:rPr>
          <w:rFonts w:ascii="仿宋" w:hAnsi="仿宋" w:eastAsia="仿宋"/>
          <w:sz w:val="32"/>
          <w:szCs w:val="32"/>
        </w:rPr>
      </w:pPr>
      <w:r>
        <w:rPr>
          <w:rFonts w:hint="eastAsia" w:ascii="仿宋" w:hAnsi="仿宋" w:eastAsia="仿宋"/>
          <w:sz w:val="32"/>
          <w:szCs w:val="32"/>
        </w:rPr>
        <w:t>要求从高中起填写至报名日，要如实反映其各阶段的就学、就业、待业等状态，期间不能中断。</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在机关事业单位的，须注明单位性质（机关、参公单位、非参公事业单位）和本人身份（公务员、参公事业编制人员、非参公事业编制人员、编外人员）。</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部队、武警相关单位工作人员须注明“现役人员”还是“非现役文职人员”，或者“合同制职员”等。</w:t>
      </w:r>
    </w:p>
    <w:p>
      <w:pPr>
        <w:spacing w:line="600" w:lineRule="exact"/>
        <w:ind w:firstLine="640" w:firstLineChars="200"/>
        <w:rPr>
          <w:rFonts w:ascii="华文仿宋" w:hAnsi="华文仿宋" w:eastAsia="华文仿宋" w:cs="华文仿宋"/>
          <w:color w:val="000000" w:themeColor="text1"/>
          <w:sz w:val="32"/>
          <w:szCs w:val="32"/>
        </w:rPr>
      </w:pPr>
      <w:r>
        <w:rPr>
          <w:rFonts w:hint="eastAsia" w:ascii="仿宋" w:hAnsi="仿宋" w:eastAsia="仿宋"/>
          <w:sz w:val="32"/>
          <w:szCs w:val="32"/>
        </w:rPr>
        <w:t>在读人员须注明教育类别是“全日制普教”还是“非全日制普教”。</w:t>
      </w:r>
    </w:p>
    <w:p>
      <w:pPr>
        <w:pStyle w:val="3"/>
        <w:ind w:firstLine="520" w:firstLineChars="162"/>
        <w:rPr>
          <w:b/>
        </w:rPr>
      </w:pPr>
      <w:bookmarkStart w:id="12" w:name="_Toc31579_WPSOffice_Level2"/>
      <w:bookmarkStart w:id="13" w:name="_Toc69889237"/>
      <w:r>
        <w:rPr>
          <w:rFonts w:hint="eastAsia"/>
          <w:b/>
        </w:rPr>
        <w:t>（四）回避情形</w:t>
      </w:r>
      <w:bookmarkEnd w:id="12"/>
      <w:bookmarkEnd w:id="13"/>
    </w:p>
    <w:p>
      <w:pPr>
        <w:spacing w:line="600" w:lineRule="exact"/>
        <w:ind w:firstLine="640" w:firstLineChars="200"/>
        <w:rPr>
          <w:rFonts w:ascii="仿宋" w:hAnsi="仿宋" w:eastAsia="仿宋"/>
          <w:sz w:val="32"/>
          <w:szCs w:val="32"/>
        </w:rPr>
      </w:pPr>
      <w:r>
        <w:rPr>
          <w:rFonts w:hint="eastAsia" w:ascii="仿宋" w:hAnsi="仿宋" w:eastAsia="仿宋"/>
          <w:sz w:val="32"/>
          <w:szCs w:val="32"/>
        </w:rPr>
        <w:t>事业单位工作人员凡有下列亲属关系的，不得在同一事业单位聘用至具有直接上下级领导关系的管理岗位，不得在其中一方担任领导人员的事业单位聘用至从事组织</w:t>
      </w:r>
      <w:r>
        <w:rPr>
          <w:rFonts w:ascii="仿宋" w:hAnsi="仿宋" w:eastAsia="仿宋"/>
          <w:sz w:val="32"/>
          <w:szCs w:val="32"/>
        </w:rPr>
        <w:t>(</w:t>
      </w:r>
      <w:r>
        <w:rPr>
          <w:rFonts w:hint="eastAsia" w:ascii="仿宋" w:hAnsi="仿宋" w:eastAsia="仿宋"/>
          <w:sz w:val="32"/>
          <w:szCs w:val="32"/>
        </w:rPr>
        <w:t>人事</w:t>
      </w:r>
      <w:r>
        <w:rPr>
          <w:rFonts w:ascii="仿宋" w:hAnsi="仿宋" w:eastAsia="仿宋"/>
          <w:sz w:val="32"/>
          <w:szCs w:val="32"/>
        </w:rPr>
        <w:t>)</w:t>
      </w:r>
      <w:r>
        <w:rPr>
          <w:rFonts w:hint="eastAsia" w:ascii="仿宋" w:hAnsi="仿宋" w:eastAsia="仿宋"/>
          <w:sz w:val="32"/>
          <w:szCs w:val="32"/>
        </w:rPr>
        <w:t>、纪检监察、审计、财务工作的岗位，也不得聘用至双方直接隶属于同一领导人员的从事组织</w:t>
      </w:r>
      <w:r>
        <w:rPr>
          <w:rFonts w:ascii="仿宋" w:hAnsi="仿宋" w:eastAsia="仿宋"/>
          <w:sz w:val="32"/>
          <w:szCs w:val="32"/>
        </w:rPr>
        <w:t>(</w:t>
      </w:r>
      <w:r>
        <w:rPr>
          <w:rFonts w:hint="eastAsia" w:ascii="仿宋" w:hAnsi="仿宋" w:eastAsia="仿宋"/>
          <w:sz w:val="32"/>
          <w:szCs w:val="32"/>
        </w:rPr>
        <w:t>人事</w:t>
      </w:r>
      <w:r>
        <w:rPr>
          <w:rFonts w:ascii="仿宋" w:hAnsi="仿宋" w:eastAsia="仿宋"/>
          <w:sz w:val="32"/>
          <w:szCs w:val="32"/>
        </w:rPr>
        <w:t>)</w:t>
      </w:r>
      <w:r>
        <w:rPr>
          <w:rFonts w:hint="eastAsia" w:ascii="仿宋" w:hAnsi="仿宋" w:eastAsia="仿宋"/>
          <w:sz w:val="32"/>
          <w:szCs w:val="32"/>
        </w:rPr>
        <w:t>、纪检监察、审计、财务工作的内设机构正职岗位：</w:t>
      </w:r>
    </w:p>
    <w:p>
      <w:pPr>
        <w:spacing w:line="60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夫妻关系</w:t>
      </w:r>
      <w:r>
        <w:rPr>
          <w:rFonts w:ascii="仿宋" w:hAnsi="仿宋" w:eastAsia="仿宋"/>
          <w:sz w:val="32"/>
          <w:szCs w:val="32"/>
        </w:rPr>
        <w:t>;</w:t>
      </w:r>
    </w:p>
    <w:p>
      <w:pPr>
        <w:spacing w:line="60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直系血亲关系，包括祖父母、外祖父母、父母、子女、孙子女、外孙子女</w:t>
      </w:r>
      <w:r>
        <w:rPr>
          <w:rFonts w:ascii="仿宋" w:hAnsi="仿宋" w:eastAsia="仿宋"/>
          <w:sz w:val="32"/>
          <w:szCs w:val="32"/>
        </w:rPr>
        <w:t>;</w:t>
      </w:r>
    </w:p>
    <w:p>
      <w:pPr>
        <w:spacing w:line="60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三代以内旁系血亲关系，包括叔伯姑舅姨、兄弟姐妹、堂兄弟姐妹、表兄弟姐妹、侄子女、甥子女</w:t>
      </w:r>
      <w:r>
        <w:rPr>
          <w:rFonts w:ascii="仿宋" w:hAnsi="仿宋" w:eastAsia="仿宋"/>
          <w:sz w:val="32"/>
          <w:szCs w:val="32"/>
        </w:rPr>
        <w:t>;</w:t>
      </w:r>
    </w:p>
    <w:p>
      <w:pPr>
        <w:spacing w:line="600" w:lineRule="exact"/>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近姻亲关系，包括配偶的父母、配偶的兄弟姐妹及其配偶、子女的配偶及子女配偶的父母、三代以内旁系血亲的配偶</w:t>
      </w:r>
      <w:r>
        <w:rPr>
          <w:rFonts w:ascii="仿宋" w:hAnsi="仿宋" w:eastAsia="仿宋"/>
          <w:sz w:val="32"/>
          <w:szCs w:val="32"/>
        </w:rPr>
        <w:t>;</w:t>
      </w:r>
    </w:p>
    <w:p>
      <w:pPr>
        <w:spacing w:line="600" w:lineRule="exact"/>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其他亲属关系，包括养父母子女、形成抚养关系的继父母子女及由此形成的直系血亲、三代以内旁系血亲和近姻亲关系。</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所称直接上下级领导关系包括：</w:t>
      </w:r>
    </w:p>
    <w:p>
      <w:pPr>
        <w:spacing w:line="60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领导班子正职与副职</w:t>
      </w:r>
      <w:r>
        <w:rPr>
          <w:rFonts w:ascii="仿宋" w:hAnsi="仿宋" w:eastAsia="仿宋"/>
          <w:sz w:val="32"/>
          <w:szCs w:val="32"/>
        </w:rPr>
        <w:t>;</w:t>
      </w:r>
    </w:p>
    <w:p>
      <w:pPr>
        <w:spacing w:line="60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同一内设机构正职与副职</w:t>
      </w:r>
      <w:r>
        <w:rPr>
          <w:rFonts w:ascii="仿宋" w:hAnsi="仿宋" w:eastAsia="仿宋"/>
          <w:sz w:val="32"/>
          <w:szCs w:val="32"/>
        </w:rPr>
        <w:t>;</w:t>
      </w:r>
    </w:p>
    <w:p>
      <w:pPr>
        <w:spacing w:line="60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上级正职、副职与下级正职</w:t>
      </w:r>
      <w:r>
        <w:rPr>
          <w:rFonts w:ascii="仿宋" w:hAnsi="仿宋" w:eastAsia="仿宋"/>
          <w:sz w:val="32"/>
          <w:szCs w:val="32"/>
        </w:rPr>
        <w:t>;</w:t>
      </w:r>
    </w:p>
    <w:p>
      <w:pPr>
        <w:spacing w:line="600" w:lineRule="exact"/>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单位无内设机构的，其正职、副职与其他管理人员以及从事审计、财务工作的专业技术人员</w:t>
      </w:r>
      <w:r>
        <w:rPr>
          <w:rFonts w:ascii="仿宋" w:hAnsi="仿宋" w:eastAsia="仿宋"/>
          <w:sz w:val="32"/>
          <w:szCs w:val="32"/>
        </w:rPr>
        <w:t>;</w:t>
      </w:r>
    </w:p>
    <w:p>
      <w:pPr>
        <w:spacing w:line="600" w:lineRule="exact"/>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内设机构无下一级单位的，其正职、副职与其他管理人员以及从事审计、财务工作的专业技术人员。</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从事招聘工作的人员存在应当回避情形的，须实行履职回避。</w:t>
      </w:r>
    </w:p>
    <w:p>
      <w:pPr>
        <w:pStyle w:val="2"/>
        <w:ind w:firstLine="640" w:firstLineChars="200"/>
      </w:pPr>
      <w:bookmarkStart w:id="14" w:name="_Toc20094_WPSOffice_Level1"/>
      <w:bookmarkStart w:id="15" w:name="_Toc69889238"/>
      <w:r>
        <w:rPr>
          <w:rFonts w:hint="eastAsia"/>
        </w:rPr>
        <w:t>四、年龄、资格（历）等的计算办法</w:t>
      </w:r>
      <w:bookmarkEnd w:id="14"/>
      <w:bookmarkEnd w:id="15"/>
    </w:p>
    <w:p>
      <w:pPr>
        <w:spacing w:line="600" w:lineRule="exact"/>
        <w:ind w:firstLine="640" w:firstLineChars="200"/>
        <w:rPr>
          <w:rFonts w:ascii="仿宋" w:hAnsi="仿宋" w:eastAsia="仿宋"/>
          <w:sz w:val="32"/>
          <w:szCs w:val="32"/>
        </w:rPr>
      </w:pPr>
      <w:r>
        <w:rPr>
          <w:rFonts w:hint="eastAsia" w:ascii="仿宋" w:hAnsi="仿宋" w:eastAsia="仿宋"/>
          <w:sz w:val="32"/>
          <w:szCs w:val="32"/>
        </w:rPr>
        <w:t>年龄、资格（历）等要求，如无特别说明，计算截至2021年5月13日。如：最高年龄要求40岁是指1980年5月13日（不含）之后出生的人员，最高年龄要求45岁是指1975年5月13日（不含）之后出生的人员，其他最高年龄要求的计算法以此类推。</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岗位资格条件、《简章》和《报考指南》要求具有</w:t>
      </w:r>
      <w:r>
        <w:rPr>
          <w:rFonts w:ascii="仿宋" w:hAnsi="仿宋" w:eastAsia="仿宋"/>
          <w:sz w:val="32"/>
          <w:szCs w:val="32"/>
        </w:rPr>
        <w:t>××</w:t>
      </w:r>
      <w:r>
        <w:rPr>
          <w:rFonts w:hint="eastAsia" w:ascii="仿宋" w:hAnsi="仿宋" w:eastAsia="仿宋"/>
          <w:sz w:val="32"/>
          <w:szCs w:val="32"/>
        </w:rPr>
        <w:t>条件以上的，如无特别说明，均含本数。</w:t>
      </w:r>
    </w:p>
    <w:p>
      <w:pPr>
        <w:pStyle w:val="2"/>
        <w:ind w:firstLine="640" w:firstLineChars="200"/>
      </w:pPr>
      <w:bookmarkStart w:id="16" w:name="_Toc69889239"/>
      <w:bookmarkStart w:id="17" w:name="_Toc30877_WPSOffice_Level1"/>
      <w:r>
        <w:rPr>
          <w:rFonts w:hint="eastAsia"/>
        </w:rPr>
        <w:t>五、学历（位）认定</w:t>
      </w:r>
      <w:bookmarkEnd w:id="16"/>
      <w:bookmarkEnd w:id="17"/>
    </w:p>
    <w:p>
      <w:pPr>
        <w:spacing w:line="600" w:lineRule="exact"/>
        <w:ind w:firstLine="640" w:firstLineChars="200"/>
        <w:rPr>
          <w:rFonts w:ascii="仿宋_GB2312" w:eastAsia="仿宋_GB2312"/>
          <w:sz w:val="32"/>
          <w:szCs w:val="32"/>
        </w:rPr>
      </w:pPr>
      <w:r>
        <w:rPr>
          <w:rFonts w:hint="eastAsia" w:ascii="仿宋" w:hAnsi="仿宋" w:eastAsia="仿宋"/>
          <w:sz w:val="32"/>
          <w:szCs w:val="32"/>
        </w:rPr>
        <w:t>岗位资格条件要求的学历(位)须是国家教育部门认可的国民教育毕业学历(位)。</w:t>
      </w:r>
    </w:p>
    <w:p>
      <w:pPr>
        <w:pStyle w:val="3"/>
        <w:ind w:firstLine="520" w:firstLineChars="162"/>
        <w:rPr>
          <w:b/>
        </w:rPr>
      </w:pPr>
      <w:bookmarkStart w:id="18" w:name="_Toc69889240"/>
      <w:r>
        <w:rPr>
          <w:rFonts w:hint="eastAsia"/>
          <w:b/>
        </w:rPr>
        <w:t>（一）境内学历（位）</w:t>
      </w:r>
      <w:bookmarkEnd w:id="18"/>
    </w:p>
    <w:p>
      <w:pPr>
        <w:spacing w:line="600" w:lineRule="exact"/>
        <w:ind w:firstLine="640" w:firstLineChars="200"/>
        <w:rPr>
          <w:rFonts w:ascii="仿宋_GB2312" w:eastAsia="仿宋_GB2312"/>
          <w:sz w:val="32"/>
          <w:szCs w:val="32"/>
        </w:rPr>
      </w:pPr>
      <w:r>
        <w:rPr>
          <w:rFonts w:hint="eastAsia" w:ascii="仿宋" w:hAnsi="仿宋" w:eastAsia="仿宋"/>
          <w:sz w:val="32"/>
          <w:szCs w:val="32"/>
        </w:rPr>
        <w:t>用于报考的学历（含自学考试、成人教育、网络教育、夜大、电大等）应在中国高等教育学生信息网（简称“学信网”，http://www.chsi.com.cn/）上可查询认证；用于报考的学位，应在中国学位与研究生教育信息网（简称“学位网”，http://www.cdgdc.edu.cn/）上可查询认证。</w:t>
      </w:r>
    </w:p>
    <w:p>
      <w:pPr>
        <w:pStyle w:val="3"/>
        <w:ind w:firstLine="520" w:firstLineChars="162"/>
        <w:rPr>
          <w:b/>
        </w:rPr>
      </w:pPr>
      <w:bookmarkStart w:id="19" w:name="_Toc69889241"/>
      <w:r>
        <w:rPr>
          <w:rFonts w:hint="eastAsia"/>
          <w:b/>
        </w:rPr>
        <w:t>（二）境外学历（位）</w:t>
      </w:r>
      <w:bookmarkEnd w:id="19"/>
    </w:p>
    <w:p>
      <w:pPr>
        <w:spacing w:line="600" w:lineRule="exact"/>
        <w:ind w:firstLine="640" w:firstLineChars="200"/>
        <w:rPr>
          <w:rFonts w:ascii="仿宋" w:hAnsi="仿宋" w:eastAsia="仿宋"/>
          <w:sz w:val="32"/>
          <w:szCs w:val="32"/>
        </w:rPr>
      </w:pPr>
      <w:r>
        <w:rPr>
          <w:rFonts w:hint="eastAsia" w:ascii="仿宋" w:hAnsi="仿宋" w:eastAsia="仿宋"/>
          <w:sz w:val="32"/>
          <w:szCs w:val="32"/>
        </w:rPr>
        <w:t>持境外学历（位）报考的，应提供教育部留学服务中心出具的《国外学历学位认证书》或《香港、澳门特别行政区学历学位认证书》或《台湾地区学历学位认证书》或教育部留学服务中心出具的证明。该学历（位）可报考要求全日制普教学历教育类别的岗位。</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属于境内院校与境外院校联合办学取得境外学历（位）的，需提供教育部留学服务中心出具的《联合办学学历学位评估意见书》或《联合办学学历学位认证书》或《中外合作办学国外学历学位认证书》。</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境外学历（位）认证可登录中国留学网(http://www.cscse.edu.cn)查询有关要求和程序。</w:t>
      </w:r>
    </w:p>
    <w:p>
      <w:pPr>
        <w:pStyle w:val="3"/>
        <w:ind w:firstLine="520" w:firstLineChars="162"/>
        <w:rPr>
          <w:b/>
        </w:rPr>
      </w:pPr>
      <w:bookmarkStart w:id="20" w:name="_Toc69889242"/>
      <w:r>
        <w:rPr>
          <w:rFonts w:hint="eastAsia"/>
          <w:b/>
        </w:rPr>
        <w:t>（三）我省“双学位”“双专业”学历</w:t>
      </w:r>
      <w:bookmarkEnd w:id="20"/>
    </w:p>
    <w:p>
      <w:pPr>
        <w:spacing w:line="600" w:lineRule="exact"/>
        <w:ind w:firstLine="640" w:firstLineChars="200"/>
        <w:rPr>
          <w:rFonts w:ascii="仿宋_GB2312" w:eastAsia="仿宋_GB2312"/>
          <w:sz w:val="32"/>
          <w:szCs w:val="32"/>
        </w:rPr>
      </w:pPr>
      <w:r>
        <w:rPr>
          <w:rFonts w:hint="eastAsia" w:ascii="仿宋" w:hAnsi="仿宋" w:eastAsia="仿宋"/>
          <w:sz w:val="32"/>
          <w:szCs w:val="32"/>
        </w:rPr>
        <w:t>根据《关于在全省高校毕业生中试行“双学位”“双专业”教育的意见》（闽教高〔2009〕9号），经修读达到毕业条件并获得“双学位”“双专业”证书的报考者，在本省范围内承认其学历、学位。</w:t>
      </w:r>
    </w:p>
    <w:p>
      <w:pPr>
        <w:pStyle w:val="3"/>
        <w:ind w:firstLine="520" w:firstLineChars="162"/>
        <w:rPr>
          <w:b/>
        </w:rPr>
      </w:pPr>
      <w:bookmarkStart w:id="21" w:name="_Toc69889243"/>
      <w:r>
        <w:rPr>
          <w:rFonts w:hint="eastAsia"/>
          <w:b/>
        </w:rPr>
        <w:t>（四）提醒事项</w:t>
      </w:r>
      <w:bookmarkEnd w:id="21"/>
    </w:p>
    <w:p>
      <w:pPr>
        <w:spacing w:line="600" w:lineRule="exact"/>
        <w:ind w:firstLine="640" w:firstLineChars="200"/>
        <w:rPr>
          <w:rFonts w:ascii="仿宋_GB2312" w:eastAsia="仿宋_GB2312"/>
          <w:sz w:val="32"/>
          <w:szCs w:val="32"/>
        </w:rPr>
      </w:pPr>
      <w:bookmarkStart w:id="22" w:name="_Toc26060_WPSOffice_Level1"/>
      <w:r>
        <w:rPr>
          <w:rFonts w:hint="eastAsia" w:ascii="仿宋" w:hAnsi="仿宋" w:eastAsia="仿宋"/>
          <w:sz w:val="32"/>
          <w:szCs w:val="32"/>
        </w:rPr>
        <w:t>1.招聘岗位有学位条件要求的，其学位应在“学位网”上可查询认证。资格复核时，招聘单位将对学历（位）进行核查，请考生按照上述要求，提前做好相应认证报告或网上查验准备。</w:t>
      </w:r>
      <w:r>
        <w:rPr>
          <w:rFonts w:hint="eastAsia" w:ascii="仿宋_GB2312" w:eastAsia="仿宋_GB2312"/>
          <w:sz w:val="32"/>
          <w:szCs w:val="32"/>
        </w:rPr>
        <w:t xml:space="preserve"> </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全日制普通教育2021届毕业生尚未取得相应学历（位）的，可持学校出具的《就业推荐表》报名，但须向招聘单位书面承诺于2021年12月31日前取得并能提供符合岗位报考条件的相应学历(位)证书，否则视为自动放弃考试（聘用）资格。</w:t>
      </w:r>
    </w:p>
    <w:p>
      <w:pPr>
        <w:pStyle w:val="2"/>
        <w:ind w:firstLine="640" w:firstLineChars="200"/>
      </w:pPr>
      <w:bookmarkStart w:id="23" w:name="_Toc69889244"/>
      <w:r>
        <w:rPr>
          <w:rFonts w:hint="eastAsia"/>
        </w:rPr>
        <w:t>六、专业</w:t>
      </w:r>
      <w:bookmarkEnd w:id="22"/>
      <w:bookmarkEnd w:id="23"/>
    </w:p>
    <w:p>
      <w:pPr>
        <w:spacing w:line="600" w:lineRule="exact"/>
        <w:ind w:firstLine="640" w:firstLineChars="200"/>
        <w:rPr>
          <w:rFonts w:ascii="仿宋_GB2312" w:eastAsia="仿宋_GB2312"/>
          <w:sz w:val="32"/>
          <w:szCs w:val="32"/>
        </w:rPr>
      </w:pPr>
      <w:r>
        <w:rPr>
          <w:rFonts w:hint="eastAsia" w:ascii="仿宋" w:hAnsi="仿宋" w:eastAsia="仿宋"/>
          <w:sz w:val="32"/>
          <w:szCs w:val="32"/>
        </w:rPr>
        <w:t>本次招考以《福建省机关事业单位招考专业指导目录（2021年）》（文中简称《专业指导目录》）作为岗位专业条件设置和审核的依据。其他来源的专业指导目录不作为本次报考和审核的依据。</w:t>
      </w:r>
    </w:p>
    <w:p>
      <w:pPr>
        <w:pStyle w:val="3"/>
        <w:ind w:firstLine="520" w:firstLineChars="162"/>
        <w:rPr>
          <w:b/>
        </w:rPr>
      </w:pPr>
      <w:bookmarkStart w:id="24" w:name="_Toc69889245"/>
      <w:bookmarkStart w:id="25" w:name="_Toc27210_WPSOffice_Level2"/>
      <w:r>
        <w:rPr>
          <w:rFonts w:hint="eastAsia"/>
          <w:b/>
        </w:rPr>
        <w:t>（一）填报专业名称</w:t>
      </w:r>
      <w:bookmarkEnd w:id="24"/>
      <w:bookmarkEnd w:id="25"/>
    </w:p>
    <w:p>
      <w:pPr>
        <w:spacing w:line="600" w:lineRule="exact"/>
        <w:ind w:firstLine="640" w:firstLineChars="200"/>
        <w:rPr>
          <w:rFonts w:ascii="仿宋_GB2312" w:eastAsia="仿宋_GB2312"/>
          <w:sz w:val="32"/>
          <w:szCs w:val="32"/>
        </w:rPr>
      </w:pPr>
      <w:r>
        <w:rPr>
          <w:rFonts w:hint="eastAsia" w:ascii="仿宋" w:hAnsi="仿宋" w:eastAsia="仿宋"/>
          <w:sz w:val="32"/>
          <w:szCs w:val="32"/>
        </w:rPr>
        <w:t>报考者应严格按照所持证书（认证报告）只字不差、如实填写所学专业。其中，全日制普通教育学历所学专业以毕业证书为准，非全日制普通教育和境外学历（位）以教育部学历（位）认证部门出具的认证报告为准，福建省的“双学位”“双专业”教育以福建省教育厅“福建省‘双学位’、‘双专业’毕业生学位证书、毕业证书信息查询”平台所查询信息为准。</w:t>
      </w:r>
    </w:p>
    <w:p>
      <w:pPr>
        <w:pStyle w:val="3"/>
        <w:ind w:firstLine="520" w:firstLineChars="162"/>
        <w:rPr>
          <w:b/>
        </w:rPr>
      </w:pPr>
      <w:bookmarkStart w:id="26" w:name="_Toc69889246"/>
      <w:bookmarkStart w:id="27" w:name="_Toc8334_WPSOffice_Level2"/>
      <w:r>
        <w:rPr>
          <w:rFonts w:hint="eastAsia"/>
          <w:b/>
        </w:rPr>
        <w:t>（二）专业与学历（位）的对应关系</w:t>
      </w:r>
      <w:bookmarkEnd w:id="26"/>
      <w:bookmarkEnd w:id="27"/>
    </w:p>
    <w:p>
      <w:pPr>
        <w:spacing w:line="600" w:lineRule="exact"/>
        <w:ind w:firstLine="640" w:firstLineChars="200"/>
        <w:rPr>
          <w:rFonts w:ascii="仿宋_GB2312" w:eastAsia="仿宋_GB2312"/>
          <w:sz w:val="32"/>
          <w:szCs w:val="32"/>
        </w:rPr>
      </w:pPr>
      <w:r>
        <w:rPr>
          <w:rFonts w:hint="eastAsia" w:ascii="仿宋" w:hAnsi="仿宋" w:eastAsia="仿宋"/>
          <w:sz w:val="32"/>
          <w:szCs w:val="32"/>
        </w:rPr>
        <w:t>岗位资格条件要求的学历(位)须为岗位所要求的专业对应的学历(位)及以上学历(位)。报考者如果已符合岗位资格条件中最低学历(位)要求而持有岗位专业要求的同级或更高级学历或学位的，也可报考。</w:t>
      </w:r>
    </w:p>
    <w:p>
      <w:pPr>
        <w:pStyle w:val="3"/>
        <w:ind w:firstLine="520" w:firstLineChars="162"/>
        <w:rPr>
          <w:b/>
        </w:rPr>
      </w:pPr>
      <w:bookmarkStart w:id="28" w:name="_Toc69889247"/>
      <w:bookmarkStart w:id="29" w:name="_Toc12123_WPSOffice_Level2"/>
      <w:r>
        <w:rPr>
          <w:rFonts w:hint="eastAsia"/>
          <w:b/>
        </w:rPr>
        <w:t>（三）专业资格的认定</w:t>
      </w:r>
      <w:bookmarkEnd w:id="28"/>
      <w:bookmarkEnd w:id="29"/>
    </w:p>
    <w:p>
      <w:pPr>
        <w:spacing w:line="600" w:lineRule="exact"/>
        <w:ind w:firstLine="640" w:firstLineChars="200"/>
        <w:rPr>
          <w:rFonts w:ascii="仿宋" w:hAnsi="仿宋" w:eastAsia="仿宋"/>
          <w:sz w:val="32"/>
          <w:szCs w:val="32"/>
        </w:rPr>
      </w:pPr>
      <w:r>
        <w:rPr>
          <w:rFonts w:hint="eastAsia" w:ascii="仿宋" w:hAnsi="仿宋" w:eastAsia="仿宋"/>
          <w:sz w:val="32"/>
          <w:szCs w:val="32"/>
        </w:rPr>
        <w:t>将专业条件设置为“××类”的招聘岗位，报考者所学专业须符合《专业指导目录》中“××类”下所列专业；将专业条件设置为具体专业名称的，报考者所学专业须符合所列专业。</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若报考者所学专业不在《专业指导目录》中，报考者须提供学历证、学位证、主干课程成绩表、论文发表情况、学校证明等有效凭证，由招聘单位会同主管部门负责认定。报考者所学专业只字不差体现在《专业指导目录》中，但未列入招聘岗位所要求的专业，不得报考该岗位。</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经与招聘单位沟通，若报考者对专业资格审查结果仍有异议的，可在规定期限内及时通过纪检监察室电话：0592-5769469提出申诉。</w:t>
      </w:r>
    </w:p>
    <w:p>
      <w:pPr>
        <w:pStyle w:val="2"/>
        <w:ind w:firstLine="640" w:firstLineChars="200"/>
      </w:pPr>
      <w:bookmarkStart w:id="30" w:name="_Toc19635_WPSOffice_Level1"/>
      <w:bookmarkStart w:id="31" w:name="_Toc69889248"/>
      <w:r>
        <w:rPr>
          <w:rFonts w:hint="eastAsia"/>
        </w:rPr>
        <w:t>七、开考比例</w:t>
      </w:r>
      <w:bookmarkEnd w:id="30"/>
      <w:bookmarkEnd w:id="31"/>
    </w:p>
    <w:p>
      <w:pPr>
        <w:pStyle w:val="3"/>
        <w:ind w:firstLine="520" w:firstLineChars="162"/>
        <w:rPr>
          <w:b/>
        </w:rPr>
      </w:pPr>
      <w:bookmarkStart w:id="32" w:name="_Toc69889249"/>
      <w:bookmarkStart w:id="33" w:name="_Toc26270_WPSOffice_Level2"/>
      <w:r>
        <w:rPr>
          <w:rFonts w:hint="eastAsia"/>
          <w:b/>
        </w:rPr>
        <w:t>（一）可降低比例开考情形</w:t>
      </w:r>
      <w:bookmarkEnd w:id="32"/>
      <w:bookmarkEnd w:id="33"/>
    </w:p>
    <w:p>
      <w:pPr>
        <w:spacing w:line="600" w:lineRule="exact"/>
        <w:ind w:firstLine="640" w:firstLineChars="200"/>
        <w:rPr>
          <w:rFonts w:ascii="仿宋_GB2312" w:eastAsia="仿宋_GB2312"/>
          <w:sz w:val="32"/>
          <w:szCs w:val="32"/>
        </w:rPr>
      </w:pPr>
      <w:r>
        <w:rPr>
          <w:rFonts w:hint="eastAsia" w:ascii="仿宋" w:hAnsi="仿宋" w:eastAsia="仿宋"/>
          <w:sz w:val="32"/>
          <w:szCs w:val="32"/>
        </w:rPr>
        <w:t>符合岗位资格条件参与专业技能测试的报名人数与岗位拟聘人数比例达不到3:1的，由招聘单位向主管部门申请适当降低比例开考。</w:t>
      </w:r>
    </w:p>
    <w:p>
      <w:pPr>
        <w:pStyle w:val="3"/>
        <w:ind w:firstLine="520" w:firstLineChars="162"/>
        <w:rPr>
          <w:b/>
        </w:rPr>
      </w:pPr>
      <w:bookmarkStart w:id="34" w:name="_Toc21957_WPSOffice_Level2"/>
      <w:bookmarkStart w:id="35" w:name="_Toc69889250"/>
      <w:r>
        <w:rPr>
          <w:rFonts w:hint="eastAsia"/>
          <w:b/>
        </w:rPr>
        <w:t>（二）开考情况</w:t>
      </w:r>
      <w:bookmarkEnd w:id="34"/>
      <w:bookmarkEnd w:id="35"/>
    </w:p>
    <w:p>
      <w:pPr>
        <w:spacing w:line="600" w:lineRule="exact"/>
        <w:ind w:firstLine="640" w:firstLineChars="200"/>
        <w:rPr>
          <w:rFonts w:ascii="仿宋_GB2312" w:eastAsia="仿宋_GB2312"/>
          <w:sz w:val="32"/>
          <w:szCs w:val="32"/>
        </w:rPr>
      </w:pPr>
      <w:r>
        <w:rPr>
          <w:rFonts w:hint="eastAsia" w:ascii="仿宋" w:hAnsi="仿宋" w:eastAsia="仿宋"/>
          <w:sz w:val="32"/>
          <w:szCs w:val="32"/>
        </w:rPr>
        <w:t>上述降低开考比例的岗位，由招聘单位提出意见，报主管部门研究同意后在鼓浪屿钢琴学校网站公告栏(http://www.ccompag.cn/)另行公告。</w:t>
      </w:r>
    </w:p>
    <w:p>
      <w:pPr>
        <w:pStyle w:val="2"/>
        <w:ind w:firstLine="640" w:firstLineChars="200"/>
      </w:pPr>
      <w:bookmarkStart w:id="36" w:name="_Toc18950_WPSOffice_Level1"/>
      <w:bookmarkStart w:id="37" w:name="_Toc69889251"/>
      <w:r>
        <w:rPr>
          <w:rFonts w:hint="eastAsia"/>
        </w:rPr>
        <w:t>八、笔试加分</w:t>
      </w:r>
      <w:bookmarkEnd w:id="36"/>
      <w:bookmarkEnd w:id="37"/>
    </w:p>
    <w:p>
      <w:pPr>
        <w:pStyle w:val="3"/>
        <w:ind w:firstLine="520" w:firstLineChars="162"/>
        <w:rPr>
          <w:b/>
        </w:rPr>
      </w:pPr>
      <w:bookmarkStart w:id="38" w:name="_Toc69889252"/>
      <w:r>
        <w:rPr>
          <w:rFonts w:hint="eastAsia"/>
          <w:b/>
        </w:rPr>
        <w:t>（一）加分原则</w:t>
      </w:r>
      <w:bookmarkEnd w:id="38"/>
    </w:p>
    <w:p>
      <w:pPr>
        <w:spacing w:line="600" w:lineRule="exact"/>
        <w:ind w:firstLine="640" w:firstLineChars="200"/>
        <w:rPr>
          <w:rFonts w:ascii="仿宋" w:hAnsi="仿宋" w:eastAsia="仿宋"/>
          <w:sz w:val="32"/>
          <w:szCs w:val="32"/>
        </w:rPr>
      </w:pPr>
      <w:r>
        <w:rPr>
          <w:rFonts w:hint="eastAsia" w:ascii="仿宋" w:hAnsi="仿宋" w:eastAsia="仿宋"/>
          <w:sz w:val="32"/>
          <w:szCs w:val="32"/>
        </w:rPr>
        <w:t>笔试成绩=笔试卷面分+各项加分。</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加分仅限于笔试卷面分，加分不受笔试满分限制。各项加分可累计计算，但累计最高不超过10分。曾通过享受政策待遇被录（聘）为公务员或事业单位编内工作人员的，不再享受相应项目的加分。</w:t>
      </w:r>
    </w:p>
    <w:p>
      <w:pPr>
        <w:pStyle w:val="3"/>
        <w:ind w:firstLine="520" w:firstLineChars="162"/>
        <w:rPr>
          <w:b/>
        </w:rPr>
      </w:pPr>
      <w:bookmarkStart w:id="39" w:name="_Toc69889253"/>
      <w:r>
        <w:rPr>
          <w:rFonts w:hint="eastAsia"/>
          <w:b/>
        </w:rPr>
        <w:t>（二）加分对象</w:t>
      </w:r>
      <w:bookmarkEnd w:id="39"/>
    </w:p>
    <w:p>
      <w:pPr>
        <w:spacing w:line="600" w:lineRule="exact"/>
        <w:ind w:firstLine="640" w:firstLineChars="200"/>
        <w:rPr>
          <w:rFonts w:ascii="仿宋" w:hAnsi="仿宋" w:eastAsia="仿宋"/>
          <w:sz w:val="32"/>
          <w:szCs w:val="32"/>
        </w:rPr>
      </w:pPr>
      <w:r>
        <w:rPr>
          <w:rFonts w:hint="eastAsia" w:ascii="仿宋" w:hAnsi="仿宋" w:eastAsia="仿宋"/>
          <w:sz w:val="32"/>
          <w:szCs w:val="32"/>
        </w:rPr>
        <w:t>符合以下加分政策的报考人员可享受笔试加分待遇：</w:t>
      </w:r>
    </w:p>
    <w:p>
      <w:pPr>
        <w:spacing w:line="600" w:lineRule="exact"/>
        <w:ind w:firstLine="630" w:firstLineChars="196"/>
        <w:rPr>
          <w:rFonts w:ascii="仿宋" w:hAnsi="仿宋" w:eastAsia="仿宋" w:cs="楷体"/>
          <w:b/>
          <w:bCs/>
          <w:sz w:val="32"/>
          <w:szCs w:val="32"/>
        </w:rPr>
      </w:pPr>
      <w:bookmarkStart w:id="40" w:name="_Toc22869_WPSOffice_Level2"/>
      <w:r>
        <w:rPr>
          <w:rFonts w:hint="eastAsia" w:ascii="仿宋" w:hAnsi="仿宋" w:eastAsia="仿宋" w:cs="楷体"/>
          <w:b/>
          <w:bCs/>
          <w:sz w:val="32"/>
          <w:szCs w:val="32"/>
        </w:rPr>
        <w:t>1.服务基层项目高校毕业人员</w:t>
      </w:r>
      <w:bookmarkEnd w:id="40"/>
    </w:p>
    <w:p>
      <w:pPr>
        <w:spacing w:line="600" w:lineRule="exact"/>
        <w:ind w:firstLine="640" w:firstLineChars="200"/>
        <w:rPr>
          <w:rFonts w:ascii="仿宋_GB2312" w:eastAsia="仿宋_GB2312"/>
          <w:sz w:val="32"/>
          <w:szCs w:val="32"/>
        </w:rPr>
      </w:pPr>
      <w:r>
        <w:rPr>
          <w:rFonts w:hint="eastAsia" w:ascii="仿宋" w:hAnsi="仿宋" w:eastAsia="仿宋"/>
          <w:sz w:val="32"/>
          <w:szCs w:val="32"/>
        </w:rPr>
        <w:t>参加国家和福建省组织实施的“三支一扶”计划、“志愿服务西部计划”（含研究生支教团）、“志愿服务欠发达地区计划”</w:t>
      </w:r>
      <w:r>
        <w:rPr>
          <w:rFonts w:hint="eastAsia" w:ascii="仿宋_GB2312" w:eastAsia="仿宋_GB2312"/>
          <w:sz w:val="32"/>
          <w:szCs w:val="32"/>
        </w:rPr>
        <w:t>、大学生“村官”</w:t>
      </w:r>
      <w:r>
        <w:rPr>
          <w:rFonts w:hint="eastAsia" w:ascii="仿宋" w:hAnsi="仿宋" w:eastAsia="仿宋"/>
          <w:sz w:val="32"/>
          <w:szCs w:val="32"/>
        </w:rPr>
        <w:t xml:space="preserve">和“服务社区计划”，服务期限为1年及以上且于2021年5月13日前期满考核合格的福建户籍或福建生源高校毕业人员：服务期限2年及以上且期满考核合格的服务基层项目毕业生，报考市属事业单位笔试卷面分加3分，报考区属事业单位笔试卷面分加5分；服务期限1年及以上不满2年且期满考核合格的服务基层项目毕业生，报考市属事业单位不加分，报考区属事业单位笔试卷面分加5分。 </w:t>
      </w:r>
    </w:p>
    <w:p>
      <w:pPr>
        <w:spacing w:line="600" w:lineRule="exact"/>
        <w:ind w:firstLine="630" w:firstLineChars="196"/>
        <w:rPr>
          <w:rFonts w:ascii="仿宋" w:hAnsi="仿宋" w:eastAsia="仿宋" w:cs="楷体"/>
          <w:b/>
          <w:bCs/>
          <w:sz w:val="32"/>
          <w:szCs w:val="32"/>
        </w:rPr>
      </w:pPr>
      <w:bookmarkStart w:id="41" w:name="_Toc25546_WPSOffice_Level2"/>
      <w:r>
        <w:rPr>
          <w:rFonts w:hint="eastAsia" w:ascii="仿宋" w:hAnsi="仿宋" w:eastAsia="仿宋" w:cs="楷体"/>
          <w:b/>
          <w:bCs/>
          <w:sz w:val="32"/>
          <w:szCs w:val="32"/>
        </w:rPr>
        <w:t>2.退役士兵（含大学生退役士兵）</w:t>
      </w:r>
      <w:bookmarkEnd w:id="41"/>
    </w:p>
    <w:p>
      <w:pPr>
        <w:spacing w:line="600" w:lineRule="exact"/>
        <w:ind w:firstLine="640" w:firstLineChars="200"/>
        <w:rPr>
          <w:rFonts w:ascii="仿宋_GB2312" w:eastAsia="仿宋_GB2312"/>
          <w:sz w:val="32"/>
          <w:szCs w:val="32"/>
        </w:rPr>
      </w:pPr>
      <w:r>
        <w:rPr>
          <w:rFonts w:hint="eastAsia" w:ascii="仿宋" w:hAnsi="仿宋" w:eastAsia="仿宋"/>
          <w:sz w:val="32"/>
          <w:szCs w:val="32"/>
        </w:rPr>
        <w:t>由福建省兵役机关批准入伍或福建生源的退役士兵（在福建省外应征入伍，但已于2021年5月13日前取得福建户籍的可参照），可享受以下笔试卷面分加分：服役满13年以上的加8分;服役满9年至12年的加6分;服役满6年至8年的加4分;服役满3年至5年的加2分;荣立二等功及以上的另加3分/次;荣立三等功的另加2分/次;获得优秀士官或优秀士兵或优秀义务兵荣誉称号的另加1分/次;伤残士兵另加3分;对在边防、高原、海岛等艰苦地区或从事飞行、舰艇工作5年及以上的，除享受以上加分外可再加3分；全日制普通教育大专以上学历学生在校期间应征入伍且退役后继续完成学业的，毕业后加5分；全日制普通教育大专以上学历毕业生应征入伍的，退役后加5分。</w:t>
      </w:r>
    </w:p>
    <w:p>
      <w:pPr>
        <w:spacing w:line="600" w:lineRule="exact"/>
        <w:ind w:firstLine="630" w:firstLineChars="196"/>
        <w:rPr>
          <w:rFonts w:ascii="仿宋" w:hAnsi="仿宋" w:eastAsia="仿宋" w:cs="楷体"/>
          <w:b/>
          <w:bCs/>
          <w:sz w:val="32"/>
          <w:szCs w:val="32"/>
        </w:rPr>
      </w:pPr>
      <w:bookmarkStart w:id="42" w:name="_Toc11377_WPSOffice_Level2"/>
      <w:r>
        <w:rPr>
          <w:rFonts w:hint="eastAsia" w:ascii="仿宋" w:hAnsi="仿宋" w:eastAsia="仿宋" w:cs="楷体"/>
          <w:b/>
          <w:bCs/>
          <w:sz w:val="32"/>
          <w:szCs w:val="32"/>
        </w:rPr>
        <w:t>3.退役优秀运动员</w:t>
      </w:r>
      <w:bookmarkEnd w:id="42"/>
    </w:p>
    <w:p>
      <w:pPr>
        <w:spacing w:line="600" w:lineRule="exact"/>
        <w:ind w:firstLine="640" w:firstLineChars="200"/>
        <w:rPr>
          <w:rFonts w:ascii="仿宋_GB2312" w:eastAsia="仿宋_GB2312"/>
          <w:sz w:val="32"/>
          <w:szCs w:val="32"/>
        </w:rPr>
      </w:pPr>
      <w:r>
        <w:rPr>
          <w:rFonts w:hint="eastAsia" w:ascii="仿宋" w:hAnsi="仿宋" w:eastAsia="仿宋"/>
          <w:sz w:val="32"/>
          <w:szCs w:val="32"/>
        </w:rPr>
        <w:t>我市退役优秀运动员，可享受以下笔试卷面分加分：曾获得世界体育三大比赛（奥运会、世锦赛、世界杯）第2至第6名，亚洲体育三大比赛（亚运会、亚锦赛、亚洲杯）或全运会第2或第3名，全国锦标赛、全国冠军赛或篮球、排球、足球全国职业联赛第1名的，加9分；曾获得省运动会冠军，全国锦标赛、全国冠军赛或篮球、排球、足球全国职业联赛第2或第3名，亚洲体育三大比赛（亚运会、亚锦赛、亚洲杯）第4至第6名的，加7分。</w:t>
      </w:r>
    </w:p>
    <w:p>
      <w:pPr>
        <w:pStyle w:val="3"/>
        <w:ind w:firstLine="520" w:firstLineChars="162"/>
        <w:rPr>
          <w:b/>
        </w:rPr>
      </w:pPr>
      <w:bookmarkStart w:id="43" w:name="_Toc25623_WPSOffice_Level2"/>
      <w:bookmarkStart w:id="44" w:name="_Toc69889254"/>
      <w:r>
        <w:rPr>
          <w:rFonts w:hint="eastAsia"/>
          <w:b/>
        </w:rPr>
        <w:t>（三）加分证明材料</w:t>
      </w:r>
      <w:bookmarkEnd w:id="43"/>
      <w:bookmarkEnd w:id="44"/>
    </w:p>
    <w:p>
      <w:pPr>
        <w:spacing w:line="600" w:lineRule="exact"/>
        <w:ind w:firstLine="640" w:firstLineChars="200"/>
        <w:rPr>
          <w:rFonts w:ascii="仿宋" w:hAnsi="仿宋" w:eastAsia="仿宋"/>
          <w:sz w:val="32"/>
          <w:szCs w:val="32"/>
        </w:rPr>
      </w:pPr>
      <w:r>
        <w:rPr>
          <w:rFonts w:hint="eastAsia" w:ascii="仿宋" w:hAnsi="仿宋" w:eastAsia="仿宋"/>
          <w:sz w:val="32"/>
          <w:szCs w:val="32"/>
        </w:rPr>
        <w:t>符合加分政策的报考人员须在网上报名时如实填报，并于网上报名期间向招聘单位提交以下加分证明材料（提交方式请与招聘单位联系人联系），否则视为放弃享受加分政策：</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1.服务基层项目毕业生须提交组织实施相应项目的机构出具的服务基层期满考核合格证书（或服务期满考核合格材料），以及福建户籍或福建生源证明材料。</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符合加分政策的退役士兵（含大学生退役士兵）安置在厦门市的，可于上班时间持身份证、退伍证前往厦门市退役军人事务局移交安置与就业创业处开具证明材料（联系电话0592-2226263）；安置在厦门市以外的，可由安置地县级及以上退役军人事务部门开具证明。此前已由民政部门开具的证明继续有效。</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3.符合加分政策的我市退役优秀运动员可持相应奖项证书前往厦门市体育局人事处开具证明材料(联系电话0592-5339323)。</w:t>
      </w:r>
    </w:p>
    <w:p>
      <w:pPr>
        <w:pStyle w:val="2"/>
        <w:ind w:firstLine="640" w:firstLineChars="200"/>
      </w:pPr>
      <w:bookmarkStart w:id="45" w:name="_Toc18359_WPSOffice_Level1"/>
      <w:bookmarkStart w:id="46" w:name="_Toc69889255"/>
      <w:r>
        <w:rPr>
          <w:rFonts w:hint="eastAsia"/>
        </w:rPr>
        <w:t>九、综合总分计算</w:t>
      </w:r>
      <w:bookmarkEnd w:id="45"/>
      <w:bookmarkEnd w:id="46"/>
    </w:p>
    <w:p>
      <w:pPr>
        <w:spacing w:line="600" w:lineRule="exact"/>
        <w:ind w:firstLine="640" w:firstLineChars="200"/>
        <w:rPr>
          <w:rFonts w:ascii="仿宋" w:hAnsi="仿宋" w:eastAsia="仿宋"/>
          <w:sz w:val="32"/>
          <w:szCs w:val="32"/>
        </w:rPr>
      </w:pPr>
      <w:r>
        <w:rPr>
          <w:rFonts w:hint="eastAsia" w:ascii="仿宋" w:hAnsi="仿宋" w:eastAsia="仿宋"/>
          <w:sz w:val="32"/>
          <w:szCs w:val="32"/>
        </w:rPr>
        <w:t>考试采取专业技能测试、笔试和面试三者相结合的方式。</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 xml:space="preserve">（一）专业技能测试： </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专业技能测试成绩满分100分，合格线为85分，专业技能测试合格者方可参加笔试。</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（二）笔试：笔试卷面满分为100分，笔试成绩为笔试卷面分和各项加分之和。</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笔试卷面分满分100分，笔试成绩（含加分）合格线为60分。</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（三）面试：从专业技能测试、笔试合格人员中，按岗位拟招聘人数3:1的比例，以“专业技能测试成绩×40%+笔试成绩×30%”从高分至低分确定参加面试人选。不足3:1的，按实际通过专业测试成绩合格人员确定。</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面试满分100分，面试成绩合格线为60分。</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（四）</w:t>
      </w:r>
      <w:bookmarkStart w:id="47" w:name="_Hlk38180157"/>
      <w:r>
        <w:rPr>
          <w:rFonts w:hint="eastAsia" w:ascii="仿宋" w:hAnsi="仿宋" w:eastAsia="仿宋"/>
          <w:sz w:val="32"/>
          <w:szCs w:val="32"/>
        </w:rPr>
        <w:t>专业技能测试成绩、笔试成绩、面试成绩、综合总分均采用四舍五入方式取小数点后2位（必要时可增加小数点位数）。综合总分合格线为60分，具体计算公式为：综合总分成绩=专业技能测试成绩×40%+笔试成绩×30%+面试成绩×30%。对于综合总分相同者，按以下规则进一步确定综合总分名次排列：</w:t>
      </w:r>
    </w:p>
    <w:bookmarkEnd w:id="47"/>
    <w:p>
      <w:pPr>
        <w:spacing w:line="600" w:lineRule="exact"/>
        <w:ind w:firstLine="640" w:firstLineChars="200"/>
        <w:rPr>
          <w:rFonts w:ascii="仿宋" w:hAnsi="仿宋" w:eastAsia="仿宋"/>
          <w:sz w:val="32"/>
          <w:szCs w:val="32"/>
        </w:rPr>
      </w:pPr>
      <w:r>
        <w:rPr>
          <w:rFonts w:hint="eastAsia" w:ascii="仿宋" w:hAnsi="仿宋" w:eastAsia="仿宋"/>
          <w:sz w:val="32"/>
          <w:szCs w:val="32"/>
        </w:rPr>
        <w:t>1.按面试成绩从高到低排列；</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2.若面试成绩相同，符合国家、我省或我市文件规定优先对象的，优先进入体检环节。若无优先对象，可由考生协商一致的情况下签名同意自行采取简易方式确定最终进入体检环节人选，或由面试组织部门组织他们重新进行面试，取重新面试成绩较高者进入体检环节。</w:t>
      </w:r>
    </w:p>
    <w:p>
      <w:pPr>
        <w:pStyle w:val="2"/>
        <w:ind w:firstLine="640" w:firstLineChars="200"/>
      </w:pPr>
      <w:bookmarkStart w:id="48" w:name="_Toc31579_WPSOffice_Level1"/>
      <w:bookmarkStart w:id="49" w:name="_Toc69889256"/>
      <w:r>
        <w:rPr>
          <w:rFonts w:hint="eastAsia"/>
        </w:rPr>
        <w:t>十、体检和考察</w:t>
      </w:r>
      <w:bookmarkEnd w:id="48"/>
      <w:bookmarkEnd w:id="49"/>
    </w:p>
    <w:p>
      <w:pPr>
        <w:pStyle w:val="3"/>
        <w:ind w:firstLine="520" w:firstLineChars="162"/>
        <w:rPr>
          <w:b/>
        </w:rPr>
      </w:pPr>
      <w:bookmarkStart w:id="50" w:name="_Toc27458_WPSOffice_Level2"/>
      <w:bookmarkStart w:id="51" w:name="_Toc69889257"/>
      <w:r>
        <w:rPr>
          <w:rFonts w:hint="eastAsia"/>
          <w:b/>
        </w:rPr>
        <w:t>（一）确定体检和考察人选</w:t>
      </w:r>
      <w:bookmarkEnd w:id="50"/>
      <w:bookmarkEnd w:id="51"/>
    </w:p>
    <w:p>
      <w:pPr>
        <w:spacing w:line="600" w:lineRule="exact"/>
        <w:ind w:firstLine="640" w:firstLineChars="200"/>
        <w:rPr>
          <w:rFonts w:ascii="仿宋" w:hAnsi="仿宋" w:eastAsia="仿宋"/>
          <w:sz w:val="32"/>
          <w:szCs w:val="32"/>
        </w:rPr>
      </w:pPr>
      <w:r>
        <w:rPr>
          <w:rFonts w:hint="eastAsia" w:ascii="仿宋" w:hAnsi="仿宋" w:eastAsia="仿宋"/>
          <w:sz w:val="32"/>
          <w:szCs w:val="32"/>
        </w:rPr>
        <w:t>从专业技能测试、笔试和面试成绩均合格者中，根据综合总分名次排名顺序，按岗位拟招聘人数1:1的比例从高分至低分确定体检和考察人选。</w:t>
      </w:r>
    </w:p>
    <w:p>
      <w:pPr>
        <w:pStyle w:val="3"/>
        <w:ind w:firstLine="520" w:firstLineChars="162"/>
        <w:rPr>
          <w:b/>
        </w:rPr>
      </w:pPr>
      <w:bookmarkStart w:id="52" w:name="_Toc69889258"/>
      <w:bookmarkStart w:id="53" w:name="_Toc25246_WPSOffice_Level2"/>
      <w:r>
        <w:rPr>
          <w:rFonts w:hint="eastAsia"/>
          <w:b/>
        </w:rPr>
        <w:t>（二）组织体检和考察</w:t>
      </w:r>
      <w:bookmarkEnd w:id="52"/>
      <w:bookmarkEnd w:id="53"/>
    </w:p>
    <w:p>
      <w:pPr>
        <w:spacing w:line="600" w:lineRule="exact"/>
        <w:ind w:firstLine="640" w:firstLineChars="200"/>
        <w:rPr>
          <w:rFonts w:ascii="仿宋_GB2312" w:eastAsia="仿宋_GB2312"/>
          <w:sz w:val="32"/>
          <w:szCs w:val="32"/>
        </w:rPr>
      </w:pPr>
      <w:r>
        <w:rPr>
          <w:rFonts w:hint="eastAsia" w:ascii="仿宋" w:hAnsi="仿宋" w:eastAsia="仿宋"/>
          <w:sz w:val="32"/>
          <w:szCs w:val="32"/>
        </w:rPr>
        <w:t>体检和考察由招聘单位会同主管部门组织实施。体检人员应根据通知按时参加并配合体检，否则，视为放弃资格。</w:t>
      </w:r>
    </w:p>
    <w:p>
      <w:pPr>
        <w:pStyle w:val="3"/>
        <w:ind w:firstLine="520" w:firstLineChars="162"/>
        <w:rPr>
          <w:b/>
        </w:rPr>
      </w:pPr>
      <w:bookmarkStart w:id="54" w:name="_Toc20581_WPSOffice_Level2"/>
      <w:bookmarkStart w:id="55" w:name="_Toc69889259"/>
      <w:r>
        <w:rPr>
          <w:rFonts w:hint="eastAsia"/>
          <w:b/>
        </w:rPr>
        <w:t>（三）体检</w:t>
      </w:r>
      <w:bookmarkEnd w:id="54"/>
      <w:bookmarkEnd w:id="55"/>
    </w:p>
    <w:p>
      <w:pPr>
        <w:spacing w:line="600" w:lineRule="exact"/>
        <w:ind w:firstLine="640" w:firstLineChars="200"/>
        <w:rPr>
          <w:rFonts w:ascii="仿宋" w:hAnsi="仿宋" w:eastAsia="仿宋"/>
          <w:sz w:val="32"/>
          <w:szCs w:val="32"/>
        </w:rPr>
      </w:pPr>
      <w:r>
        <w:rPr>
          <w:rFonts w:hint="eastAsia" w:ascii="仿宋" w:hAnsi="仿宋" w:eastAsia="仿宋"/>
          <w:sz w:val="32"/>
          <w:szCs w:val="32"/>
        </w:rPr>
        <w:t>体检由招聘单位组织到指定的医院集中体检。</w:t>
      </w:r>
      <w:bookmarkStart w:id="56" w:name="_Toc23595_WPSOffice_Level2"/>
    </w:p>
    <w:p>
      <w:pPr>
        <w:spacing w:line="600" w:lineRule="exact"/>
        <w:ind w:firstLine="640" w:firstLineChars="200"/>
        <w:rPr>
          <w:rFonts w:ascii="仿宋" w:hAnsi="仿宋" w:eastAsia="仿宋"/>
          <w:sz w:val="32"/>
          <w:szCs w:val="32"/>
        </w:rPr>
      </w:pPr>
      <w:r>
        <w:rPr>
          <w:rFonts w:hint="eastAsia" w:ascii="仿宋" w:hAnsi="仿宋" w:eastAsia="仿宋"/>
          <w:sz w:val="32"/>
          <w:szCs w:val="32"/>
        </w:rPr>
        <w:t>本次招聘体检参照《福建省教师资格申请人员体检标准及办法（2018年修订）》的要求执行,（女性报考者因怀孕、哺乳期需申请延期体检的，应提供相应的医学证明并与招聘单位约定延缓体检的合理期限），体（复）检费用自理。参加体检人员须携带本人身份证到指定的医院集中体检。参加体检人员对体检结果有疑问的，可在得知体检结果的7日向招聘单位提出复检申请，复检只能进行一次，由招聘单位和主管部门另行指定医院复检，体检结果以复检结果为准。</w:t>
      </w:r>
    </w:p>
    <w:bookmarkEnd w:id="56"/>
    <w:p>
      <w:pPr>
        <w:pStyle w:val="3"/>
        <w:ind w:firstLine="520" w:firstLineChars="162"/>
        <w:rPr>
          <w:b/>
        </w:rPr>
      </w:pPr>
      <w:bookmarkStart w:id="57" w:name="_Toc69889260"/>
      <w:bookmarkStart w:id="58" w:name="_Toc28645_WPSOffice_Level2"/>
      <w:r>
        <w:rPr>
          <w:rFonts w:hint="eastAsia"/>
          <w:b/>
        </w:rPr>
        <w:t>（四）考察</w:t>
      </w:r>
      <w:bookmarkEnd w:id="57"/>
      <w:bookmarkEnd w:id="58"/>
    </w:p>
    <w:p>
      <w:pPr>
        <w:spacing w:line="600" w:lineRule="exact"/>
        <w:ind w:firstLine="640" w:firstLineChars="200"/>
        <w:rPr>
          <w:rFonts w:ascii="仿宋" w:hAnsi="仿宋" w:eastAsia="仿宋"/>
          <w:sz w:val="32"/>
          <w:szCs w:val="32"/>
        </w:rPr>
      </w:pPr>
      <w:r>
        <w:rPr>
          <w:rFonts w:hint="eastAsia" w:ascii="仿宋" w:hAnsi="仿宋" w:eastAsia="仿宋"/>
          <w:sz w:val="32"/>
          <w:szCs w:val="32"/>
        </w:rPr>
        <w:t>对体检合格的报考人员，由招聘单位会同主管部门组织对其政治思想、道德品质、廉洁自律、能力素质、工作态度、学习及工作表现以及是否需要回避等内容进行考察，并对报考人员资格条件再次进行审核。</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考察工作前，通过中国执行信息公开网（http://shixin.court.gov.cn/）核实考察对象有无失信被执行的情况。发现考察对象被列为失信被执行人的，应查看对应案号并联系执行法院，函询、核实被执行人履行义务的进展情况。被执行人已履行义务的，应在招聘单位约定的期限内提供执行法院的书面证明，方可进行考察；尚未履行义务的，取消其聘用考察资格。报考者在试用期被列为失信被执行人的，取消其聘用资格。</w:t>
      </w:r>
      <w:bookmarkStart w:id="59" w:name="_Toc28979_WPSOffice_Level1"/>
    </w:p>
    <w:p>
      <w:pPr>
        <w:pStyle w:val="2"/>
        <w:ind w:firstLine="640" w:firstLineChars="200"/>
      </w:pPr>
      <w:bookmarkStart w:id="60" w:name="_Toc69889261"/>
      <w:r>
        <w:rPr>
          <w:rFonts w:hint="eastAsia"/>
        </w:rPr>
        <w:t>十一、拟聘用公示</w:t>
      </w:r>
      <w:bookmarkEnd w:id="59"/>
      <w:bookmarkEnd w:id="60"/>
    </w:p>
    <w:p>
      <w:pPr>
        <w:spacing w:line="600" w:lineRule="exact"/>
        <w:ind w:firstLine="640" w:firstLineChars="200"/>
        <w:rPr>
          <w:rFonts w:ascii="仿宋_GB2312" w:eastAsia="仿宋_GB2312"/>
          <w:sz w:val="32"/>
          <w:szCs w:val="32"/>
          <w:highlight w:val="red"/>
        </w:rPr>
      </w:pPr>
      <w:r>
        <w:rPr>
          <w:rFonts w:hint="eastAsia" w:ascii="仿宋" w:hAnsi="仿宋" w:eastAsia="仿宋"/>
          <w:sz w:val="32"/>
          <w:szCs w:val="32"/>
        </w:rPr>
        <w:t>根据岗位要求以及考试、体检、考察结果，确定拟聘用人员名单，并在网上公示7个工作日。公示内容包括招聘单位名称、招聘岗位、拟聘人员基本信息等。</w:t>
      </w:r>
    </w:p>
    <w:p>
      <w:pPr>
        <w:pStyle w:val="2"/>
        <w:ind w:firstLine="640" w:firstLineChars="200"/>
      </w:pPr>
      <w:bookmarkStart w:id="61" w:name="_Toc69889262"/>
      <w:bookmarkStart w:id="62" w:name="_Toc22669_WPSOffice_Level1"/>
      <w:r>
        <w:rPr>
          <w:rFonts w:hint="eastAsia"/>
        </w:rPr>
        <w:t>十二、聘用</w:t>
      </w:r>
      <w:bookmarkEnd w:id="61"/>
      <w:bookmarkEnd w:id="62"/>
    </w:p>
    <w:p>
      <w:pPr>
        <w:pStyle w:val="3"/>
        <w:ind w:firstLine="520" w:firstLineChars="162"/>
        <w:rPr>
          <w:b/>
        </w:rPr>
      </w:pPr>
      <w:bookmarkStart w:id="63" w:name="_Toc69889263"/>
      <w:bookmarkStart w:id="64" w:name="_Toc13595_WPSOffice_Level2"/>
      <w:r>
        <w:rPr>
          <w:rFonts w:hint="eastAsia"/>
          <w:b/>
        </w:rPr>
        <w:t>（一）聘用手续办理</w:t>
      </w:r>
      <w:bookmarkEnd w:id="63"/>
      <w:bookmarkEnd w:id="64"/>
    </w:p>
    <w:p>
      <w:pPr>
        <w:spacing w:line="600" w:lineRule="exact"/>
        <w:ind w:firstLine="640" w:firstLineChars="200"/>
        <w:rPr>
          <w:rFonts w:ascii="仿宋_GB2312" w:eastAsia="仿宋_GB2312"/>
          <w:sz w:val="32"/>
          <w:szCs w:val="32"/>
        </w:rPr>
      </w:pPr>
      <w:r>
        <w:rPr>
          <w:rFonts w:hint="eastAsia" w:ascii="仿宋" w:hAnsi="仿宋" w:eastAsia="仿宋"/>
          <w:sz w:val="32"/>
          <w:szCs w:val="32"/>
        </w:rPr>
        <w:t>公示结果无异议，或经招聘单位会同主管部门核实不影响聘用的，拟聘人员应于公示期满后3个月内提供办理聘用手续所需的材料（含个人人事档案），因情况确实特殊、无法在上述期限内提供完备资料的，情况特殊的，与招聘单位、及其主管部门协商同意并书面承诺后可适当延长材料提交时限（延长时限原则上不超过2个月），否则视为放弃聘用资格。</w:t>
      </w:r>
    </w:p>
    <w:p>
      <w:pPr>
        <w:pStyle w:val="3"/>
        <w:ind w:firstLine="520" w:firstLineChars="162"/>
        <w:rPr>
          <w:b/>
        </w:rPr>
      </w:pPr>
      <w:bookmarkStart w:id="65" w:name="_Toc29102_WPSOffice_Level2"/>
      <w:bookmarkStart w:id="66" w:name="_Toc69889264"/>
      <w:r>
        <w:rPr>
          <w:rFonts w:hint="eastAsia"/>
          <w:b/>
        </w:rPr>
        <w:t>（二）岗位聘任</w:t>
      </w:r>
      <w:bookmarkEnd w:id="65"/>
      <w:bookmarkEnd w:id="66"/>
    </w:p>
    <w:p>
      <w:pPr>
        <w:spacing w:line="600" w:lineRule="exact"/>
        <w:ind w:firstLine="640" w:firstLineChars="200"/>
        <w:rPr>
          <w:rFonts w:ascii="仿宋" w:hAnsi="仿宋" w:eastAsia="仿宋"/>
          <w:sz w:val="32"/>
          <w:szCs w:val="32"/>
        </w:rPr>
      </w:pPr>
      <w:r>
        <w:rPr>
          <w:rFonts w:hint="eastAsia" w:ascii="仿宋" w:hAnsi="仿宋" w:eastAsia="仿宋"/>
          <w:sz w:val="32"/>
          <w:szCs w:val="32"/>
        </w:rPr>
        <w:t xml:space="preserve">拟聘人员办理就业手续后，招聘单位应依据《事业单位人事管理条例》《厦门市事业单位聘用制暂行规定》与拟聘人员签订《聘用合同》。 聘用人员的人员身份及工龄、工资、养老保险等待遇由招聘单位查阅其人事档案后，按照厦门市有关规定认定。 </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招聘单位对拟聘人员的聘用须按照事业单位岗位设置管理规定，按本单位发布的招聘岗位类别和级别进行聘任。如招聘单位的拟聘岗位数量不足或拟聘人员不具备相应岗位聘任资格条件的，可实行高职低聘。</w:t>
      </w:r>
    </w:p>
    <w:p>
      <w:pPr>
        <w:pStyle w:val="2"/>
        <w:ind w:firstLine="640" w:firstLineChars="200"/>
      </w:pPr>
      <w:bookmarkStart w:id="67" w:name="_Toc5709_WPSOffice_Level1"/>
      <w:bookmarkStart w:id="68" w:name="_Toc69889265"/>
      <w:bookmarkStart w:id="69" w:name="_Toc24575_WPSOffice_Level2"/>
      <w:r>
        <w:rPr>
          <w:rFonts w:hint="eastAsia"/>
        </w:rPr>
        <w:t>十三、其他事项</w:t>
      </w:r>
      <w:bookmarkEnd w:id="67"/>
      <w:bookmarkEnd w:id="68"/>
    </w:p>
    <w:p>
      <w:pPr>
        <w:pStyle w:val="3"/>
        <w:ind w:firstLine="520" w:firstLineChars="162"/>
        <w:rPr>
          <w:b/>
        </w:rPr>
      </w:pPr>
      <w:bookmarkStart w:id="70" w:name="_Toc69889266"/>
      <w:r>
        <w:rPr>
          <w:rFonts w:hint="eastAsia"/>
          <w:b/>
        </w:rPr>
        <w:t>（一）户籍、生源</w:t>
      </w:r>
      <w:bookmarkEnd w:id="69"/>
      <w:bookmarkEnd w:id="70"/>
    </w:p>
    <w:p>
      <w:pPr>
        <w:spacing w:line="600" w:lineRule="exact"/>
        <w:ind w:firstLine="640" w:firstLineChars="200"/>
        <w:rPr>
          <w:rFonts w:ascii="仿宋" w:hAnsi="仿宋" w:eastAsia="仿宋"/>
          <w:sz w:val="32"/>
          <w:szCs w:val="32"/>
        </w:rPr>
      </w:pPr>
      <w:r>
        <w:rPr>
          <w:rFonts w:hint="eastAsia" w:ascii="仿宋" w:hAnsi="仿宋" w:eastAsia="仿宋"/>
          <w:sz w:val="32"/>
          <w:szCs w:val="32"/>
        </w:rPr>
        <w:t>厦门户籍不含在厦的各类学校学生集体户口。福建户籍不含在闽的各类学校学生集体户口。</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厦门生源毕业生是指入学前（指考入取得第一个全日制普通教育学历的院校前，下同）户籍和学籍在厦门市的全日制普通教育毕业生。符合以下条件之一的普通教育全日制毕业生可参照厦门生源：</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1.入学前户籍在厦门市但学籍不在厦门市的普通教育全日制毕业生；</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2.入学前户籍和学籍虽不在厦门市，但本次公开招聘报名截止日前父母或配偶有一方户籍在厦门市的普通教育全日制2021年应届毕业生；</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3.根据厦府办[2011]229号文规定来我市就读普通高中且将户籍迁入我市的外来学生，普通高中毕业后从我市考入普通高等院校的全日制普通教育毕业生。</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福建生源类推界定。</w:t>
      </w:r>
    </w:p>
    <w:p>
      <w:pPr>
        <w:pStyle w:val="3"/>
        <w:ind w:firstLine="520" w:firstLineChars="162"/>
        <w:rPr>
          <w:b/>
        </w:rPr>
      </w:pPr>
      <w:bookmarkStart w:id="71" w:name="_Toc17835_WPSOffice_Level2"/>
      <w:bookmarkStart w:id="72" w:name="_Toc14806_WPSOffice_Level2"/>
      <w:bookmarkStart w:id="73" w:name="_Toc69889267"/>
      <w:r>
        <w:rPr>
          <w:rFonts w:hint="eastAsia"/>
          <w:b/>
        </w:rPr>
        <w:t>（二）</w:t>
      </w:r>
      <w:bookmarkEnd w:id="71"/>
      <w:r>
        <w:rPr>
          <w:rFonts w:hint="eastAsia"/>
          <w:b/>
        </w:rPr>
        <w:t>港澳台人员</w:t>
      </w:r>
      <w:bookmarkEnd w:id="72"/>
      <w:bookmarkEnd w:id="73"/>
    </w:p>
    <w:p>
      <w:pPr>
        <w:spacing w:line="600" w:lineRule="exact"/>
        <w:ind w:firstLine="640" w:firstLineChars="200"/>
        <w:rPr>
          <w:rFonts w:ascii="仿宋" w:hAnsi="仿宋" w:eastAsia="仿宋"/>
          <w:sz w:val="32"/>
          <w:szCs w:val="32"/>
        </w:rPr>
      </w:pPr>
      <w:r>
        <w:rPr>
          <w:rFonts w:hint="eastAsia" w:ascii="仿宋" w:hAnsi="仿宋" w:eastAsia="仿宋"/>
          <w:sz w:val="32"/>
          <w:szCs w:val="32"/>
        </w:rPr>
        <w:t>港澳台人员（不得持有外国籍）的招聘，按照国家、省和我市有关规定办理。</w:t>
      </w:r>
    </w:p>
    <w:p>
      <w:pPr>
        <w:pStyle w:val="2"/>
        <w:ind w:firstLine="640" w:firstLineChars="200"/>
      </w:pPr>
      <w:bookmarkStart w:id="74" w:name="_Toc12964"/>
      <w:bookmarkStart w:id="75" w:name="_Toc69889268"/>
      <w:r>
        <w:rPr>
          <w:rFonts w:hint="eastAsia"/>
        </w:rPr>
        <w:t>十四、疫情防控要求</w:t>
      </w:r>
      <w:bookmarkEnd w:id="74"/>
      <w:bookmarkEnd w:id="75"/>
    </w:p>
    <w:p>
      <w:pPr>
        <w:spacing w:line="600" w:lineRule="exact"/>
        <w:ind w:firstLine="640" w:firstLineChars="200"/>
        <w:rPr>
          <w:rFonts w:ascii="仿宋" w:hAnsi="仿宋" w:eastAsia="仿宋"/>
          <w:sz w:val="32"/>
          <w:szCs w:val="32"/>
        </w:rPr>
      </w:pPr>
      <w:r>
        <w:rPr>
          <w:rFonts w:hint="eastAsia" w:ascii="仿宋" w:hAnsi="仿宋" w:eastAsia="仿宋"/>
          <w:sz w:val="32"/>
          <w:szCs w:val="32"/>
        </w:rPr>
        <w:t>本次招聘将严格按照厦门市应对新冠肺炎疫情工作指挥部部署，严密落实新冠肺炎疫情防控要求，考生务必遵照疫情防控要求，提前做好行程规划，以免错失考试资格。在参加本次招聘考试的现场环节时，考生应按要求佩戴口罩、出示八闽健康码（请提前下载安装闽政通APP）和接受体温检测，并保持适当距离不拥挤，体温检测37.3℃及以上者，根据实际情况按有关防疫要求处理。不配合考试现场防疫要求者或未能按时参加考试相关环节者，视为自动放弃本次考试资格。</w:t>
      </w:r>
    </w:p>
    <w:p>
      <w:pPr>
        <w:spacing w:line="600" w:lineRule="exact"/>
        <w:ind w:firstLine="640" w:firstLineChars="200"/>
        <w:jc w:val="right"/>
        <w:rPr>
          <w:rFonts w:ascii="仿宋" w:hAnsi="仿宋" w:eastAsia="仿宋"/>
          <w:sz w:val="32"/>
          <w:szCs w:val="32"/>
        </w:rPr>
      </w:pPr>
    </w:p>
    <w:p>
      <w:pPr>
        <w:spacing w:line="600" w:lineRule="exact"/>
        <w:ind w:firstLine="640" w:firstLineChars="200"/>
        <w:jc w:val="right"/>
        <w:rPr>
          <w:rFonts w:ascii="仿宋" w:hAnsi="仿宋" w:eastAsia="仿宋"/>
          <w:sz w:val="32"/>
          <w:szCs w:val="32"/>
        </w:rPr>
      </w:pPr>
      <w:r>
        <w:rPr>
          <w:rFonts w:hint="eastAsia" w:ascii="仿宋" w:hAnsi="仿宋" w:eastAsia="仿宋"/>
          <w:sz w:val="32"/>
          <w:szCs w:val="32"/>
        </w:rPr>
        <w:t>中央音乐学院鼓浪屿钢琴学校</w: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 xml:space="preserve">                       2021年5月7日</w:t>
      </w:r>
    </w:p>
    <w:sectPr>
      <w:footerReference r:id="rId3" w:type="default"/>
      <w:pgSz w:w="11906" w:h="16838"/>
      <w:pgMar w:top="1440" w:right="1701" w:bottom="1440" w:left="1701"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3626069"/>
    </w:sdtPr>
    <w:sdtEndPr>
      <w:rPr>
        <w:rFonts w:ascii="宋体" w:hAnsi="宋体" w:eastAsia="宋体"/>
        <w:sz w:val="24"/>
        <w:szCs w:val="24"/>
      </w:rPr>
    </w:sdtEndPr>
    <w:sdtContent>
      <w:p>
        <w:pPr>
          <w:pStyle w:val="7"/>
          <w:jc w:val="center"/>
          <w:rPr>
            <w:rFonts w:ascii="宋体" w:hAnsi="宋体" w:eastAsia="宋体"/>
            <w:sz w:val="24"/>
            <w:szCs w:val="24"/>
          </w:rPr>
        </w:pPr>
        <w:r>
          <w:rPr>
            <w:rFonts w:ascii="宋体" w:hAnsi="宋体" w:eastAsia="宋体"/>
            <w:sz w:val="24"/>
            <w:szCs w:val="24"/>
          </w:rPr>
          <w:fldChar w:fldCharType="begin"/>
        </w:r>
        <w:r>
          <w:rPr>
            <w:rFonts w:ascii="宋体" w:hAnsi="宋体" w:eastAsia="宋体"/>
            <w:sz w:val="24"/>
            <w:szCs w:val="24"/>
          </w:rPr>
          <w:instrText xml:space="preserve"> PAGE   \* MERGEFORMAT </w:instrText>
        </w:r>
        <w:r>
          <w:rPr>
            <w:rFonts w:ascii="宋体" w:hAnsi="宋体" w:eastAsia="宋体"/>
            <w:sz w:val="24"/>
            <w:szCs w:val="24"/>
          </w:rPr>
          <w:fldChar w:fldCharType="separate"/>
        </w:r>
        <w:r>
          <w:rPr>
            <w:rFonts w:ascii="宋体" w:hAnsi="宋体" w:eastAsia="宋体"/>
            <w:sz w:val="24"/>
            <w:szCs w:val="24"/>
            <w:lang w:val="zh-CN"/>
          </w:rPr>
          <w:t>1</w:t>
        </w:r>
        <w:r>
          <w:rPr>
            <w:rFonts w:ascii="宋体" w:hAnsi="宋体" w:eastAsia="宋体"/>
            <w:sz w:val="24"/>
            <w:szCs w:val="24"/>
            <w:lang w:val="zh-CN"/>
          </w:rP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A16"/>
    <w:rsid w:val="00000173"/>
    <w:rsid w:val="00035985"/>
    <w:rsid w:val="00044935"/>
    <w:rsid w:val="0004768D"/>
    <w:rsid w:val="00054CD2"/>
    <w:rsid w:val="00056FEA"/>
    <w:rsid w:val="00065BFA"/>
    <w:rsid w:val="00081FD3"/>
    <w:rsid w:val="000A15B1"/>
    <w:rsid w:val="000A2855"/>
    <w:rsid w:val="000A40B0"/>
    <w:rsid w:val="000B5802"/>
    <w:rsid w:val="000B638F"/>
    <w:rsid w:val="000C7808"/>
    <w:rsid w:val="000E0647"/>
    <w:rsid w:val="000E0EE3"/>
    <w:rsid w:val="000F4861"/>
    <w:rsid w:val="00100117"/>
    <w:rsid w:val="001036C3"/>
    <w:rsid w:val="00114293"/>
    <w:rsid w:val="0011604D"/>
    <w:rsid w:val="00116CD6"/>
    <w:rsid w:val="0011789A"/>
    <w:rsid w:val="00117D1D"/>
    <w:rsid w:val="001321C3"/>
    <w:rsid w:val="00137BC5"/>
    <w:rsid w:val="00140A0B"/>
    <w:rsid w:val="00145AB6"/>
    <w:rsid w:val="0014786A"/>
    <w:rsid w:val="00151980"/>
    <w:rsid w:val="00157FFC"/>
    <w:rsid w:val="001668EE"/>
    <w:rsid w:val="0018656E"/>
    <w:rsid w:val="001923B2"/>
    <w:rsid w:val="0019794A"/>
    <w:rsid w:val="001C243A"/>
    <w:rsid w:val="001F26EB"/>
    <w:rsid w:val="00216050"/>
    <w:rsid w:val="00216817"/>
    <w:rsid w:val="00225BC7"/>
    <w:rsid w:val="00234A95"/>
    <w:rsid w:val="0025398F"/>
    <w:rsid w:val="00283FFF"/>
    <w:rsid w:val="00290CEA"/>
    <w:rsid w:val="00294AB6"/>
    <w:rsid w:val="002A6896"/>
    <w:rsid w:val="002A7615"/>
    <w:rsid w:val="002B5F7A"/>
    <w:rsid w:val="002D073E"/>
    <w:rsid w:val="0032540C"/>
    <w:rsid w:val="00325A7F"/>
    <w:rsid w:val="003442AB"/>
    <w:rsid w:val="003647E5"/>
    <w:rsid w:val="0037461B"/>
    <w:rsid w:val="00384DBA"/>
    <w:rsid w:val="0039564C"/>
    <w:rsid w:val="003A4A57"/>
    <w:rsid w:val="003B7855"/>
    <w:rsid w:val="003C3D33"/>
    <w:rsid w:val="003D4670"/>
    <w:rsid w:val="003E0CDA"/>
    <w:rsid w:val="0040603E"/>
    <w:rsid w:val="0040694E"/>
    <w:rsid w:val="00413DE3"/>
    <w:rsid w:val="004146D3"/>
    <w:rsid w:val="00422EF8"/>
    <w:rsid w:val="00440CAC"/>
    <w:rsid w:val="00447867"/>
    <w:rsid w:val="00455373"/>
    <w:rsid w:val="004920DD"/>
    <w:rsid w:val="004A4423"/>
    <w:rsid w:val="004A448F"/>
    <w:rsid w:val="004B4284"/>
    <w:rsid w:val="004C37A7"/>
    <w:rsid w:val="004D3402"/>
    <w:rsid w:val="004E6E43"/>
    <w:rsid w:val="004F044C"/>
    <w:rsid w:val="004F7BA2"/>
    <w:rsid w:val="00511845"/>
    <w:rsid w:val="00514DC6"/>
    <w:rsid w:val="00516B49"/>
    <w:rsid w:val="00527868"/>
    <w:rsid w:val="00532AAB"/>
    <w:rsid w:val="00541B64"/>
    <w:rsid w:val="00545B50"/>
    <w:rsid w:val="00557630"/>
    <w:rsid w:val="00562861"/>
    <w:rsid w:val="00571C87"/>
    <w:rsid w:val="005725D1"/>
    <w:rsid w:val="005742AC"/>
    <w:rsid w:val="005A6EB7"/>
    <w:rsid w:val="005C1DFD"/>
    <w:rsid w:val="005D4165"/>
    <w:rsid w:val="005F45D4"/>
    <w:rsid w:val="006124D4"/>
    <w:rsid w:val="00614F45"/>
    <w:rsid w:val="00623B59"/>
    <w:rsid w:val="006763F8"/>
    <w:rsid w:val="006814C6"/>
    <w:rsid w:val="006945E5"/>
    <w:rsid w:val="006E6CA2"/>
    <w:rsid w:val="006F10B1"/>
    <w:rsid w:val="006F1E68"/>
    <w:rsid w:val="006F329C"/>
    <w:rsid w:val="007013DA"/>
    <w:rsid w:val="007152C5"/>
    <w:rsid w:val="00722307"/>
    <w:rsid w:val="007447A1"/>
    <w:rsid w:val="0075593C"/>
    <w:rsid w:val="007566F0"/>
    <w:rsid w:val="0077600A"/>
    <w:rsid w:val="007A1C64"/>
    <w:rsid w:val="007A6BBD"/>
    <w:rsid w:val="007D386C"/>
    <w:rsid w:val="00815C89"/>
    <w:rsid w:val="008254C1"/>
    <w:rsid w:val="00827F4C"/>
    <w:rsid w:val="00847A82"/>
    <w:rsid w:val="008731CA"/>
    <w:rsid w:val="008B1CB3"/>
    <w:rsid w:val="008B1E36"/>
    <w:rsid w:val="008B325B"/>
    <w:rsid w:val="008C5FED"/>
    <w:rsid w:val="00900005"/>
    <w:rsid w:val="0090797A"/>
    <w:rsid w:val="00926D80"/>
    <w:rsid w:val="009278BC"/>
    <w:rsid w:val="009333C9"/>
    <w:rsid w:val="00952CE4"/>
    <w:rsid w:val="009737DD"/>
    <w:rsid w:val="00990ACD"/>
    <w:rsid w:val="00993DA7"/>
    <w:rsid w:val="009B2AA5"/>
    <w:rsid w:val="009B7DE1"/>
    <w:rsid w:val="009C2394"/>
    <w:rsid w:val="009C2398"/>
    <w:rsid w:val="009E0F8D"/>
    <w:rsid w:val="009E4153"/>
    <w:rsid w:val="00A03F35"/>
    <w:rsid w:val="00A4575F"/>
    <w:rsid w:val="00A550DD"/>
    <w:rsid w:val="00A55F29"/>
    <w:rsid w:val="00A71BFC"/>
    <w:rsid w:val="00A8467C"/>
    <w:rsid w:val="00A87A23"/>
    <w:rsid w:val="00AA12CD"/>
    <w:rsid w:val="00AA2E92"/>
    <w:rsid w:val="00AA508C"/>
    <w:rsid w:val="00AC09E0"/>
    <w:rsid w:val="00AC1F3F"/>
    <w:rsid w:val="00AC4E22"/>
    <w:rsid w:val="00AC564C"/>
    <w:rsid w:val="00AD2E0E"/>
    <w:rsid w:val="00AE0DFE"/>
    <w:rsid w:val="00AE7504"/>
    <w:rsid w:val="00B30845"/>
    <w:rsid w:val="00B328F3"/>
    <w:rsid w:val="00B3499A"/>
    <w:rsid w:val="00B42BDA"/>
    <w:rsid w:val="00B54553"/>
    <w:rsid w:val="00B6511E"/>
    <w:rsid w:val="00B70A31"/>
    <w:rsid w:val="00B85C77"/>
    <w:rsid w:val="00BE3313"/>
    <w:rsid w:val="00C00FAC"/>
    <w:rsid w:val="00C07BDB"/>
    <w:rsid w:val="00C17344"/>
    <w:rsid w:val="00C336BF"/>
    <w:rsid w:val="00C350B6"/>
    <w:rsid w:val="00C6685C"/>
    <w:rsid w:val="00C816D0"/>
    <w:rsid w:val="00C8496E"/>
    <w:rsid w:val="00C84C57"/>
    <w:rsid w:val="00C8726D"/>
    <w:rsid w:val="00C95217"/>
    <w:rsid w:val="00CA3A16"/>
    <w:rsid w:val="00CC25AF"/>
    <w:rsid w:val="00CC6A8B"/>
    <w:rsid w:val="00CC75BC"/>
    <w:rsid w:val="00CF45AF"/>
    <w:rsid w:val="00D03509"/>
    <w:rsid w:val="00D2436B"/>
    <w:rsid w:val="00D44D99"/>
    <w:rsid w:val="00D70D36"/>
    <w:rsid w:val="00D7534E"/>
    <w:rsid w:val="00D87031"/>
    <w:rsid w:val="00DA14D0"/>
    <w:rsid w:val="00DA3363"/>
    <w:rsid w:val="00DA3B7B"/>
    <w:rsid w:val="00DD5389"/>
    <w:rsid w:val="00DD67B8"/>
    <w:rsid w:val="00DF32F9"/>
    <w:rsid w:val="00E14E5F"/>
    <w:rsid w:val="00E16664"/>
    <w:rsid w:val="00E501FF"/>
    <w:rsid w:val="00E5277D"/>
    <w:rsid w:val="00E67095"/>
    <w:rsid w:val="00E714F7"/>
    <w:rsid w:val="00E924A0"/>
    <w:rsid w:val="00E9643E"/>
    <w:rsid w:val="00EB0C30"/>
    <w:rsid w:val="00EB16CD"/>
    <w:rsid w:val="00EE6725"/>
    <w:rsid w:val="00F10910"/>
    <w:rsid w:val="00F11192"/>
    <w:rsid w:val="00F14952"/>
    <w:rsid w:val="00F1772B"/>
    <w:rsid w:val="00F22FFD"/>
    <w:rsid w:val="00F25088"/>
    <w:rsid w:val="00F401C0"/>
    <w:rsid w:val="00F67CE0"/>
    <w:rsid w:val="00F73ECF"/>
    <w:rsid w:val="00F764E9"/>
    <w:rsid w:val="00FA7AB5"/>
    <w:rsid w:val="00FC06A6"/>
    <w:rsid w:val="00FC080E"/>
    <w:rsid w:val="00FC2E7E"/>
    <w:rsid w:val="03427198"/>
    <w:rsid w:val="060D0DBE"/>
    <w:rsid w:val="07601B28"/>
    <w:rsid w:val="08004F3A"/>
    <w:rsid w:val="0B97760F"/>
    <w:rsid w:val="0C42075F"/>
    <w:rsid w:val="0C9537CF"/>
    <w:rsid w:val="0EFC1000"/>
    <w:rsid w:val="11D50F5D"/>
    <w:rsid w:val="127C59E8"/>
    <w:rsid w:val="1401124A"/>
    <w:rsid w:val="15714F96"/>
    <w:rsid w:val="16270FDD"/>
    <w:rsid w:val="173C19E1"/>
    <w:rsid w:val="17B2674F"/>
    <w:rsid w:val="18DC4FBF"/>
    <w:rsid w:val="1B795366"/>
    <w:rsid w:val="20D11DC7"/>
    <w:rsid w:val="2107136B"/>
    <w:rsid w:val="21CD6AB5"/>
    <w:rsid w:val="242714D3"/>
    <w:rsid w:val="248C709C"/>
    <w:rsid w:val="25C95F79"/>
    <w:rsid w:val="26D620F2"/>
    <w:rsid w:val="29CD7D15"/>
    <w:rsid w:val="2AB93EDB"/>
    <w:rsid w:val="2D146264"/>
    <w:rsid w:val="2D3D3232"/>
    <w:rsid w:val="33605A59"/>
    <w:rsid w:val="34171B12"/>
    <w:rsid w:val="344A498F"/>
    <w:rsid w:val="36433543"/>
    <w:rsid w:val="36922B9D"/>
    <w:rsid w:val="36D725F1"/>
    <w:rsid w:val="39920792"/>
    <w:rsid w:val="3D5926B2"/>
    <w:rsid w:val="3D6E71DA"/>
    <w:rsid w:val="408467AD"/>
    <w:rsid w:val="45067887"/>
    <w:rsid w:val="45F3735E"/>
    <w:rsid w:val="466157DC"/>
    <w:rsid w:val="47240519"/>
    <w:rsid w:val="4D667BAF"/>
    <w:rsid w:val="4EC918D2"/>
    <w:rsid w:val="4F7E58B9"/>
    <w:rsid w:val="50D0757E"/>
    <w:rsid w:val="519F4DD4"/>
    <w:rsid w:val="53564D9D"/>
    <w:rsid w:val="54EC7875"/>
    <w:rsid w:val="576F2D86"/>
    <w:rsid w:val="5AAA10A0"/>
    <w:rsid w:val="5C976E58"/>
    <w:rsid w:val="5DD36BE6"/>
    <w:rsid w:val="5E5A3A96"/>
    <w:rsid w:val="5FC73386"/>
    <w:rsid w:val="60550F1B"/>
    <w:rsid w:val="67587B68"/>
    <w:rsid w:val="69B01680"/>
    <w:rsid w:val="6A116A99"/>
    <w:rsid w:val="6B2C131A"/>
    <w:rsid w:val="6BE172C8"/>
    <w:rsid w:val="6D3C2DD2"/>
    <w:rsid w:val="746F7336"/>
    <w:rsid w:val="747852FC"/>
    <w:rsid w:val="768A1663"/>
    <w:rsid w:val="776646F3"/>
    <w:rsid w:val="784767D9"/>
    <w:rsid w:val="785B6B77"/>
    <w:rsid w:val="7A595755"/>
    <w:rsid w:val="7AE33118"/>
    <w:rsid w:val="7B1539F6"/>
    <w:rsid w:val="7E394979"/>
    <w:rsid w:val="7E8453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line="600" w:lineRule="exact"/>
      <w:outlineLvl w:val="0"/>
    </w:pPr>
    <w:rPr>
      <w:rFonts w:eastAsia="黑体"/>
      <w:bCs/>
      <w:kern w:val="44"/>
      <w:sz w:val="32"/>
      <w:szCs w:val="44"/>
    </w:rPr>
  </w:style>
  <w:style w:type="paragraph" w:styleId="3">
    <w:name w:val="heading 2"/>
    <w:basedOn w:val="1"/>
    <w:next w:val="1"/>
    <w:link w:val="25"/>
    <w:unhideWhenUsed/>
    <w:qFormat/>
    <w:uiPriority w:val="9"/>
    <w:pPr>
      <w:keepNext/>
      <w:keepLines/>
      <w:spacing w:line="600" w:lineRule="exact"/>
      <w:outlineLvl w:val="1"/>
    </w:pPr>
    <w:rPr>
      <w:rFonts w:eastAsia="楷体" w:asciiTheme="majorHAnsi" w:hAnsiTheme="majorHAnsi" w:cstheme="majorBidi"/>
      <w:bCs/>
      <w:sz w:val="32"/>
      <w:szCs w:val="32"/>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1"/>
    <w:semiHidden/>
    <w:unhideWhenUsed/>
    <w:qFormat/>
    <w:uiPriority w:val="99"/>
    <w:pPr>
      <w:jc w:val="left"/>
    </w:pPr>
  </w:style>
  <w:style w:type="paragraph" w:styleId="5">
    <w:name w:val="toc 3"/>
    <w:basedOn w:val="1"/>
    <w:next w:val="1"/>
    <w:semiHidden/>
    <w:unhideWhenUsed/>
    <w:qFormat/>
    <w:uiPriority w:val="39"/>
    <w:pPr>
      <w:widowControl/>
      <w:spacing w:after="100" w:line="276" w:lineRule="auto"/>
      <w:ind w:left="440"/>
      <w:jc w:val="left"/>
    </w:pPr>
    <w:rPr>
      <w:kern w:val="0"/>
      <w:sz w:val="22"/>
    </w:rPr>
  </w:style>
  <w:style w:type="paragraph" w:styleId="6">
    <w:name w:val="Balloon Text"/>
    <w:basedOn w:val="1"/>
    <w:link w:val="20"/>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widowControl/>
      <w:spacing w:after="100" w:line="276" w:lineRule="auto"/>
      <w:jc w:val="left"/>
    </w:pPr>
    <w:rPr>
      <w:kern w:val="0"/>
      <w:sz w:val="22"/>
    </w:rPr>
  </w:style>
  <w:style w:type="paragraph" w:styleId="10">
    <w:name w:val="toc 2"/>
    <w:basedOn w:val="1"/>
    <w:next w:val="1"/>
    <w:unhideWhenUsed/>
    <w:qFormat/>
    <w:uiPriority w:val="39"/>
    <w:pPr>
      <w:widowControl/>
      <w:spacing w:after="100" w:line="276" w:lineRule="auto"/>
      <w:ind w:left="220"/>
      <w:jc w:val="left"/>
    </w:pPr>
    <w:rPr>
      <w:kern w:val="0"/>
      <w:sz w:val="22"/>
    </w:rPr>
  </w:style>
  <w:style w:type="paragraph" w:styleId="11">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14">
    <w:name w:val="page number"/>
    <w:basedOn w:val="13"/>
    <w:qFormat/>
    <w:uiPriority w:val="0"/>
  </w:style>
  <w:style w:type="character" w:styleId="15">
    <w:name w:val="Hyperlink"/>
    <w:basedOn w:val="13"/>
    <w:unhideWhenUsed/>
    <w:qFormat/>
    <w:uiPriority w:val="99"/>
    <w:rPr>
      <w:color w:val="0000FF"/>
      <w:u w:val="single"/>
    </w:rPr>
  </w:style>
  <w:style w:type="character" w:customStyle="1" w:styleId="16">
    <w:name w:val="页眉 Char"/>
    <w:basedOn w:val="13"/>
    <w:link w:val="8"/>
    <w:qFormat/>
    <w:uiPriority w:val="99"/>
    <w:rPr>
      <w:sz w:val="18"/>
      <w:szCs w:val="18"/>
    </w:rPr>
  </w:style>
  <w:style w:type="character" w:customStyle="1" w:styleId="17">
    <w:name w:val="页脚 Char"/>
    <w:basedOn w:val="13"/>
    <w:link w:val="7"/>
    <w:qFormat/>
    <w:uiPriority w:val="99"/>
    <w:rPr>
      <w:sz w:val="18"/>
      <w:szCs w:val="18"/>
    </w:rPr>
  </w:style>
  <w:style w:type="paragraph" w:customStyle="1" w:styleId="18">
    <w:name w:val="WPSOffice手动目录 1"/>
    <w:qFormat/>
    <w:uiPriority w:val="0"/>
    <w:rPr>
      <w:rFonts w:ascii="Times New Roman" w:hAnsi="Times New Roman" w:eastAsia="宋体" w:cs="Times New Roman"/>
      <w:lang w:val="en-US" w:eastAsia="zh-CN" w:bidi="ar-SA"/>
    </w:rPr>
  </w:style>
  <w:style w:type="paragraph" w:customStyle="1" w:styleId="19">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0">
    <w:name w:val="批注框文本 Char"/>
    <w:basedOn w:val="13"/>
    <w:link w:val="6"/>
    <w:semiHidden/>
    <w:qFormat/>
    <w:uiPriority w:val="99"/>
    <w:rPr>
      <w:kern w:val="2"/>
      <w:sz w:val="18"/>
      <w:szCs w:val="18"/>
    </w:rPr>
  </w:style>
  <w:style w:type="character" w:customStyle="1" w:styleId="21">
    <w:name w:val="批注文字 Char"/>
    <w:basedOn w:val="13"/>
    <w:link w:val="4"/>
    <w:semiHidden/>
    <w:qFormat/>
    <w:uiPriority w:val="99"/>
    <w:rPr>
      <w:rFonts w:asciiTheme="minorHAnsi" w:hAnsiTheme="minorHAnsi" w:eastAsiaTheme="minorEastAsia" w:cstheme="minorBidi"/>
      <w:kern w:val="2"/>
      <w:sz w:val="21"/>
      <w:szCs w:val="22"/>
    </w:rPr>
  </w:style>
  <w:style w:type="paragraph" w:styleId="22">
    <w:name w:val="List Paragraph"/>
    <w:basedOn w:val="1"/>
    <w:unhideWhenUsed/>
    <w:uiPriority w:val="99"/>
    <w:pPr>
      <w:ind w:firstLine="420" w:firstLineChars="200"/>
    </w:pPr>
  </w:style>
  <w:style w:type="character" w:customStyle="1" w:styleId="23">
    <w:name w:val="标题 1 Char"/>
    <w:basedOn w:val="13"/>
    <w:link w:val="2"/>
    <w:uiPriority w:val="9"/>
    <w:rPr>
      <w:rFonts w:eastAsia="黑体" w:asciiTheme="minorHAnsi" w:hAnsiTheme="minorHAnsi" w:cstheme="minorBidi"/>
      <w:bCs/>
      <w:kern w:val="44"/>
      <w:sz w:val="32"/>
      <w:szCs w:val="44"/>
    </w:rPr>
  </w:style>
  <w:style w:type="paragraph" w:customStyle="1" w:styleId="24">
    <w:name w:val="TOC Heading"/>
    <w:basedOn w:val="2"/>
    <w:next w:val="1"/>
    <w:semiHidden/>
    <w:unhideWhenUsed/>
    <w:qFormat/>
    <w:uiPriority w:val="39"/>
    <w:pPr>
      <w:widowControl/>
      <w:spacing w:before="48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5">
    <w:name w:val="标题 2 Char"/>
    <w:basedOn w:val="13"/>
    <w:link w:val="3"/>
    <w:uiPriority w:val="9"/>
    <w:rPr>
      <w:rFonts w:eastAsia="楷体" w:asciiTheme="majorHAnsi" w:hAnsiTheme="majorHAnsi" w:cstheme="majorBidi"/>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5A0854-E7C6-4771-A191-901F7A0A637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1497</Words>
  <Characters>8533</Characters>
  <Lines>71</Lines>
  <Paragraphs>20</Paragraphs>
  <TotalTime>436</TotalTime>
  <ScaleCrop>false</ScaleCrop>
  <LinksUpToDate>false</LinksUpToDate>
  <CharactersWithSpaces>10010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2019-09-12T08:54:00Z</dcterms:created>
  <dc:creator>dell</dc:creator>
  <cp:lastModifiedBy>Administrator</cp:lastModifiedBy>
  <cp:lastPrinted>2021-05-06T00:58:00Z</cp:lastPrinted>
  <dcterms:modified xsi:type="dcterms:W3CDTF">2021-05-11T01:10:10Z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