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附件1：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绵阳高新区2021年公开选调教师岗位和条件要求一览表</w:t>
      </w:r>
    </w:p>
    <w:bookmarkEnd w:id="0"/>
    <w:tbl>
      <w:tblPr>
        <w:tblStyle w:val="4"/>
        <w:tblW w:w="134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230"/>
        <w:gridCol w:w="1335"/>
        <w:gridCol w:w="3180"/>
        <w:gridCol w:w="1275"/>
        <w:gridCol w:w="1275"/>
        <w:gridCol w:w="1725"/>
        <w:gridCol w:w="2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招聘单位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岗位名称</w:t>
            </w:r>
          </w:p>
        </w:tc>
        <w:tc>
          <w:tcPr>
            <w:tcW w:w="3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年龄条件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招聘人数</w:t>
            </w:r>
          </w:p>
        </w:tc>
        <w:tc>
          <w:tcPr>
            <w:tcW w:w="5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3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职称资质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高新区实验中学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物理</w:t>
            </w:r>
          </w:p>
        </w:tc>
        <w:tc>
          <w:tcPr>
            <w:tcW w:w="31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1986年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日及以后出生的；省级及以上骨干教师、省级赛课二等奖及以上人员可放宽至1981年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日及以后出生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普通高等教育本科及以上学历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物理教育及相关专业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取得教育行政主管部门颁发的高中教师资格证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2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心理学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心理学教育及相关专业</w:t>
            </w: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3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历史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历史教育及相关专业</w:t>
            </w:r>
          </w:p>
        </w:tc>
        <w:tc>
          <w:tcPr>
            <w:tcW w:w="2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4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高新区火炬中学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语文</w:t>
            </w:r>
          </w:p>
        </w:tc>
        <w:tc>
          <w:tcPr>
            <w:tcW w:w="31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1986年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日及以后出生的；省级及以上骨干教师、省级赛课二等奖及以上人员可放宽至1981年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日及以后出生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普通高等教育本科及以上学历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汉语言文学教育及相关专业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取得教育行政主管部门颁发的初中及以上教师资格证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5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数学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数学教育及相关专业</w:t>
            </w: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6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英语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英语及相关专业</w:t>
            </w: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7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高新区永兴中学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语文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汉语言文学教育及相关专业</w:t>
            </w: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8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数学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数学教育及相关专业</w:t>
            </w: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9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物理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物理教育及相关专业</w:t>
            </w:r>
          </w:p>
        </w:tc>
        <w:tc>
          <w:tcPr>
            <w:tcW w:w="2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火炬实小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数学</w:t>
            </w:r>
          </w:p>
        </w:tc>
        <w:tc>
          <w:tcPr>
            <w:tcW w:w="31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1986年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日及以后出生的；省级及以上骨干教师、省级赛课二等奖及以上人员可放宽至1981年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日及以后出生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普通高等教育本科及以上学历</w:t>
            </w: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不限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取得教育行政主管部门颁发的小学及以上教师资格证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火炬一小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语文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3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火炬二小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语文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3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数学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火炬三小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语文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数学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创新实小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语文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3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数学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创新二小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语文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2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数学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创新四小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语文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2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数学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2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公办独立幼儿园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1986年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日及以后出生的；省级及以上骨干教师、省级赛课二等奖及以上人员可放宽至1981年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日及以后出生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普通高等教育本科及以上学历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不限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取得教育行政主管部门颁发的幼儿教师资格证</w:t>
            </w:r>
          </w:p>
        </w:tc>
      </w:tr>
    </w:tbl>
    <w:p>
      <w:pPr>
        <w:rPr>
          <w:color w:val="auto"/>
        </w:rPr>
        <w:sectPr>
          <w:footerReference r:id="rId3" w:type="default"/>
          <w:pgSz w:w="16838" w:h="11906" w:orient="landscape"/>
          <w:pgMar w:top="1134" w:right="1418" w:bottom="1134" w:left="1134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仿宋_GB2312" w:eastAsia="仿宋_GB2312"/>
        <w:sz w:val="28"/>
        <w:szCs w:val="28"/>
      </w:rPr>
    </w:pPr>
    <w:r>
      <w:rPr>
        <w:rStyle w:val="6"/>
        <w:rFonts w:ascii="仿宋_GB2312" w:eastAsia="仿宋_GB2312"/>
        <w:sz w:val="28"/>
        <w:szCs w:val="28"/>
      </w:rPr>
      <w:fldChar w:fldCharType="begin"/>
    </w:r>
    <w:r>
      <w:rPr>
        <w:rStyle w:val="6"/>
        <w:rFonts w:ascii="仿宋_GB2312" w:eastAsia="仿宋_GB2312"/>
        <w:sz w:val="28"/>
        <w:szCs w:val="28"/>
      </w:rPr>
      <w:instrText xml:space="preserve">PAGE  </w:instrText>
    </w:r>
    <w:r>
      <w:rPr>
        <w:rStyle w:val="6"/>
        <w:rFonts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7</w:t>
    </w:r>
    <w:r>
      <w:rPr>
        <w:rStyle w:val="6"/>
        <w:rFonts w:ascii="仿宋_GB2312" w:eastAsia="仿宋_GB2312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55619"/>
    <w:rsid w:val="7165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2021-05-17T09:18:00Z</dcterms:created>
  <dc:creator>K～</dc:creator>
  <cp:lastModifiedBy>K～</cp:lastModifiedBy>
  <dcterms:modified xsi:type="dcterms:W3CDTF">2021-05-17T09:19:05Z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