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eastAsia="方正仿宋_GBK" w:cs="黑体"/>
          <w:bCs/>
          <w:sz w:val="36"/>
          <w:szCs w:val="36"/>
        </w:rPr>
      </w:pPr>
      <w:bookmarkStart w:id="1" w:name="_GoBack"/>
      <w:bookmarkEnd w:id="1"/>
      <w:bookmarkStart w:id="0" w:name="_Hlk68688586"/>
      <w:r>
        <w:rPr>
          <w:rFonts w:hint="eastAsia" w:ascii="方正仿宋_GBK" w:eastAsia="方正仿宋_GBK" w:cs="宋体"/>
          <w:color w:val="000000"/>
          <w:kern w:val="0"/>
          <w:sz w:val="32"/>
          <w:szCs w:val="32"/>
        </w:rPr>
        <w:t>附件：北方民族大学2021年专任教师公开招聘计划</w:t>
      </w:r>
    </w:p>
    <w:tbl>
      <w:tblPr>
        <w:tblStyle w:val="5"/>
        <w:tblW w:w="5000" w:type="pct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536"/>
        <w:gridCol w:w="844"/>
        <w:gridCol w:w="2533"/>
        <w:gridCol w:w="1404"/>
        <w:gridCol w:w="16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4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拟补充计划数</w:t>
            </w:r>
          </w:p>
        </w:tc>
        <w:tc>
          <w:tcPr>
            <w:tcW w:w="23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对拟补充人员的基本要求</w:t>
            </w:r>
          </w:p>
        </w:tc>
        <w:tc>
          <w:tcPr>
            <w:tcW w:w="96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 w:cs="宋体"/>
                <w:b/>
                <w:bCs/>
                <w:color w:val="000000"/>
                <w:kern w:val="0"/>
                <w:sz w:val="20"/>
                <w:szCs w:val="20"/>
              </w:rPr>
              <w:t>学历、职称</w:t>
            </w:r>
          </w:p>
        </w:tc>
        <w:tc>
          <w:tcPr>
            <w:tcW w:w="9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经济学院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应用经济学、理论经济学、工商管理、农林经济管理、中国少数民族经济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中国少数民族经济专业应聘者本、硕阶段需为经济类专业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法学院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法学（不限方向）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本、硕、博均为法学专业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马克思主义学院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马克思主义理论、哲学、政治学、民族理论与政策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同等条件下中共党员优先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文学与新闻传播学院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新闻学、传播学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博士研究生或副高级以上职称且为硕士研究生学历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Calibri"/>
                <w:color w:val="000000"/>
                <w:sz w:val="20"/>
                <w:szCs w:val="20"/>
              </w:rPr>
            </w:pPr>
            <w:r>
              <w:rPr>
                <w:rFonts w:hint="eastAsia" w:ascii="宋体" w:cs="Calibri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外国语学院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英语、日语等外国语言文学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数学与信息科学学院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数学、计算机科学与技术、控制科学与工程、系统工程、统计学、力学、网络空间安全、金融学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金融学专业需有数学专业学士或硕士背景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机电工程学院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机械工程、机械设计制造及自动化、机械电子工程、机器人工程、工业设计、材料加工工程、化工过程机械、流体机械及工程、车辆工程、农业机械化工程、动力机械及工程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1.机械工程主要为机械制造、机械设计及理论、控制、测试、力学等方向。2.材料加工工程主要为数字化成形与模具技术、快速制造技术、精密成形技术方向。3.本科为机械类专业。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电气信息工程学院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电子科学与技术、控制科学与工程、电气工程、通信工程、仪器科学与技术、光学工程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计算机科学与工程学院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计算机科学与技术、信息与通信工程、控制科学与工程、软件工程、网络空间安全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土木工程学院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土木工程、水利工程、力学、建筑学、测绘科学与技术、桥梁与隧道工程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商学院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会计学、财务管理、管理科学与工程、应用经济学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音乐舞蹈学院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音乐与舞蹈学（音乐表演、作曲）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在钢琴表演、作曲与作曲技术理论、声乐表演、器乐表演方面表演技能突出，专业音乐学院毕业生优先。音乐学领域相关专业方向毕业生。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设计艺术学院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设计学、美术学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本科专业为环境设计或油画或雕塑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预科教育学院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数学、应用数学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Calibri"/>
                <w:color w:val="000000"/>
                <w:sz w:val="20"/>
                <w:szCs w:val="20"/>
              </w:rPr>
            </w:pPr>
            <w:r>
              <w:rPr>
                <w:rFonts w:hint="eastAsia" w:ascii="宋体" w:cs="Calibri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继续教育学院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高等教育、发展与教育心理学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本科为高校毕业生，有3年以上工作经历。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学报编辑部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民族学、民族理论与政策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博士研究生</w:t>
            </w:r>
          </w:p>
        </w:tc>
        <w:tc>
          <w:tcPr>
            <w:tcW w:w="9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/>
                <w:color w:val="000000"/>
                <w:sz w:val="16"/>
                <w:szCs w:val="16"/>
              </w:rPr>
              <w:t>政治素质高；文字表达及加工能力强；工作责任心强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28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377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bookmarkEnd w:id="0"/>
    </w:tbl>
    <w:p>
      <w:pPr>
        <w:rPr>
          <w:rFonts w:ascii="方正仿宋_GBK" w:eastAsia="方正仿宋_GBK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4DFA05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931</Words>
  <Characters>945</Characters>
  <Lines>157</Lines>
  <Paragraphs>99</Paragraphs>
  <TotalTime>309</TotalTime>
  <ScaleCrop>false</ScaleCrop>
  <LinksUpToDate>false</LinksUpToDate>
  <CharactersWithSpaces>953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2021-03-31T06:56:00Z</dcterms:created>
  <dc:creator>郑伟</dc:creator>
  <cp:lastModifiedBy>user</cp:lastModifiedBy>
  <dcterms:modified xsi:type="dcterms:W3CDTF">2021-05-27T03:20:49Z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