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6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2"/>
        <w:gridCol w:w="352"/>
        <w:gridCol w:w="620"/>
        <w:gridCol w:w="354"/>
        <w:gridCol w:w="820"/>
        <w:gridCol w:w="353"/>
        <w:gridCol w:w="263"/>
        <w:gridCol w:w="263"/>
        <w:gridCol w:w="1543"/>
        <w:gridCol w:w="906"/>
        <w:gridCol w:w="353"/>
        <w:gridCol w:w="263"/>
        <w:gridCol w:w="353"/>
        <w:gridCol w:w="1085"/>
        <w:gridCol w:w="12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宜宾三江新区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2021年第一次公开招用合同制教师岗位表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9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9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9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165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19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笔试最低开考比例</w:t>
            </w:r>
          </w:p>
        </w:tc>
        <w:tc>
          <w:tcPr>
            <w:tcW w:w="349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59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701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9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9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49" w:type="pct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1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20210601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20210602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20210603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20210604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20210605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20210606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20210607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20210608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20210609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20210610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20210611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三江新区中学校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20210612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具有初中及以上对应学科教师资格证，普通话二级乙等及以上资格证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小学语文教师（一）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20210613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20210614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20210615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20210616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小学道德与法制教师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20210617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20210618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20210619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20210620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20210621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20210622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三江新区小学校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小学心理健康教师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20210623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具有小学及以上对应学科教师资格证，普通话二级甲等及以上资格证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幼儿教师（一）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20210624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幼儿教师（二）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20210625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幼儿教师（三）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20210626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幼儿教师（四）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20210627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幼儿教师（五）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20210628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幼儿教师（六）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20210629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幼儿教师（七）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20210630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幼儿教师（八）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20210631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幼儿教师（九）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20210632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20210633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幼儿教师（十一）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20210634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幼儿教师（十二）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20210635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幼儿教师（十三）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20210636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幼儿教师（十四）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20210637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幼儿教师（十五）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20210638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幼儿教师（十六）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20210639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三江新区幼儿园</w:t>
            </w:r>
          </w:p>
        </w:tc>
        <w:tc>
          <w:tcPr>
            <w:tcW w:w="2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幼儿教师（十七）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20210640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4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35周岁及以下（获得镇、乡级及以上优秀教师、优秀乡村教师、优秀班主任、优秀教育工作者之一者，或者获得镇、乡级及以上赛课一等奖获得者，可放宽到40周岁及以下）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教育公共基础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心理素质测评</w:t>
            </w:r>
          </w:p>
        </w:tc>
        <w:tc>
          <w:tcPr>
            <w:tcW w:w="5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专业技能面试（现场提问+才艺展示，才艺展示涉及的所有器材一律自备，包括音乐播放设备，考场均不提供）</w:t>
            </w: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1.最低服务期5年，全区统筹使用，服从调配；2.三江新区在编和合同制教师不能报考。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8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3501" w:type="pct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B2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2021-06-03T01:23:46Z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D9392BECE6CC4BB2BF27E1CFB284898B</vt:lpwstr>
  </property>
</Properties>
</file>