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8" w:type="pct"/>
        <w:jc w:val="center"/>
        <w:tblCellSpacing w:w="7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tbl>
            <w:tblPr>
              <w:tblW w:w="8790" w:type="dxa"/>
              <w:tblCellSpacing w:w="0" w:type="dxa"/>
              <w:tblInd w:w="1" w:type="dxa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1"/>
              <w:gridCol w:w="7919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</w:tblPrEx>
              <w:trPr>
                <w:trHeight w:val="885" w:hRule="atLeast"/>
                <w:tblCellSpacing w:w="0" w:type="dxa"/>
              </w:trPr>
              <w:tc>
                <w:tcPr>
                  <w:tcW w:w="870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rPr>
                      <w:rFonts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  <w:u w:val="none"/>
                      <w:bdr w:val="none" w:color="auto" w:sz="0" w:space="0"/>
                    </w:rPr>
                    <w:t>岗位</w:t>
                  </w:r>
                </w:p>
              </w:tc>
              <w:tc>
                <w:tcPr>
                  <w:tcW w:w="7905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Style w:val="5"/>
                      <w:rFonts w:hint="eastAsia" w:ascii="宋体" w:hAnsi="宋体" w:eastAsia="宋体" w:cs="宋体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专业及其他要求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00" w:hRule="atLeast"/>
                <w:tblCellSpacing w:w="0" w:type="dxa"/>
              </w:trPr>
              <w:tc>
                <w:tcPr>
                  <w:tcW w:w="87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  <w:u w:val="none"/>
                      <w:bdr w:val="none" w:color="auto" w:sz="0" w:space="0"/>
                    </w:rPr>
                    <w:t>学前综合</w:t>
                  </w:r>
                </w:p>
              </w:tc>
              <w:tc>
                <w:tcPr>
                  <w:tcW w:w="79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户籍不限；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default"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学前教育、幼儿教育专业；或已取得幼儿教师资格证（或考试合格证） 。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90" w:hRule="atLeast"/>
                <w:tblCellSpacing w:w="0" w:type="dxa"/>
              </w:trPr>
              <w:tc>
                <w:tcPr>
                  <w:tcW w:w="87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  <w:u w:val="none"/>
                      <w:bdr w:val="none" w:color="auto" w:sz="0" w:space="0"/>
                    </w:rPr>
                    <w:t>学前体育专长</w:t>
                  </w:r>
                </w:p>
              </w:tc>
              <w:tc>
                <w:tcPr>
                  <w:tcW w:w="79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default"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户籍不限；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default"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学前教育、幼儿教育、体育教学、体育、竞技体育、运动训练、社会体育、竞技体育、民族传统体育、体育服务与管理、社会体育指导与管理、武术、武术与传统民族体育、运动人体科学、体育人文社会学、体育教育训练学、民族传统体育学专业；或已取得体育教师资格证（或考试合格证）。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75" w:hRule="atLeast"/>
                <w:tblCellSpacing w:w="0" w:type="dxa"/>
              </w:trPr>
              <w:tc>
                <w:tcPr>
                  <w:tcW w:w="87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  <w:u w:val="none"/>
                      <w:bdr w:val="none" w:color="auto" w:sz="0" w:space="0"/>
                    </w:rPr>
                    <w:t>学前美术专长</w:t>
                  </w:r>
                </w:p>
              </w:tc>
              <w:tc>
                <w:tcPr>
                  <w:tcW w:w="79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default"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户籍不限；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default"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学前教育、幼儿教育、绘画、雕塑、美术教育、美术学、艺术设计学、视觉传达设计、戏剧影视美术设计、公共艺术（美术方向）、动画、中国画、书法学专业；或已取得美术教师资格证（或考试合格证）。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60" w:hRule="atLeast"/>
                <w:tblCellSpacing w:w="0" w:type="dxa"/>
              </w:trPr>
              <w:tc>
                <w:tcPr>
                  <w:tcW w:w="87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  <w:u w:val="none"/>
                      <w:bdr w:val="none" w:color="auto" w:sz="0" w:space="0"/>
                    </w:rPr>
                    <w:t>学前音乐专长</w:t>
                  </w:r>
                </w:p>
              </w:tc>
              <w:tc>
                <w:tcPr>
                  <w:tcW w:w="79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default"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户籍不限；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default"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学前教育、幼儿教育、音乐教育、音乐学、音乐表演、作曲与作曲技术理论、舞蹈学、舞蹈表演、舞蹈编导、戏剧学、表演学专业；或已取得音乐教师资格证（或考试合格证）。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60" w:hRule="atLeast"/>
                <w:tblCellSpacing w:w="0" w:type="dxa"/>
              </w:trPr>
              <w:tc>
                <w:tcPr>
                  <w:tcW w:w="87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  <w:u w:val="none"/>
                      <w:bdr w:val="none" w:color="auto" w:sz="0" w:space="0"/>
                    </w:rPr>
                    <w:t>学前会计专长</w:t>
                  </w:r>
                  <w:bookmarkStart w:id="0" w:name="_GoBack"/>
                  <w:bookmarkEnd w:id="0"/>
                </w:p>
              </w:tc>
              <w:tc>
                <w:tcPr>
                  <w:tcW w:w="79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default"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户籍不限；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5" w:lineRule="atLeast"/>
                    <w:ind w:left="0" w:right="0" w:firstLine="600"/>
                    <w:rPr>
                      <w:rFonts w:hint="eastAsia" w:ascii="微软雅黑" w:hAnsi="微软雅黑" w:eastAsia="微软雅黑" w:cs="微软雅黑"/>
                      <w:color w:val="333333"/>
                      <w:sz w:val="21"/>
                      <w:szCs w:val="21"/>
                      <w:u w:val="none"/>
                    </w:rPr>
                  </w:pPr>
                  <w:r>
                    <w:rPr>
                      <w:rFonts w:hint="default" w:ascii="仿宋_GB2312" w:hAnsi="微软雅黑" w:eastAsia="仿宋_GB2312" w:cs="仿宋_GB2312"/>
                      <w:color w:val="333333"/>
                      <w:sz w:val="30"/>
                      <w:szCs w:val="30"/>
                      <w:u w:val="none"/>
                      <w:bdr w:val="none" w:color="auto" w:sz="0" w:space="0"/>
                    </w:rPr>
                    <w:t>财务管理、会计、会计信息管理、审计专业。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F8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2021-06-08T03:29:13Z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1693B6091A744CDBB459738671F15F31</vt:lpwstr>
  </property>
</Properties>
</file>