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left"/>
      </w:pPr>
      <w:r>
        <w:rPr>
          <w:rFonts w:ascii="仿宋" w:hAnsi="仿宋" w:eastAsia="仿宋" w:cs="仿宋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中学附属小学</w:t>
      </w:r>
      <w:r>
        <w:rPr>
          <w:rFonts w:hint="default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彭州市教育人才管理服务中心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center"/>
      </w:pPr>
      <w:r>
        <w:rPr>
          <w:rFonts w:hint="default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年招聘员额教师岗位分布表</w:t>
      </w:r>
    </w:p>
    <w:tbl>
      <w:tblPr>
        <w:tblW w:w="8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3"/>
        <w:gridCol w:w="795"/>
        <w:gridCol w:w="1043"/>
        <w:gridCol w:w="737"/>
        <w:gridCol w:w="645"/>
        <w:gridCol w:w="645"/>
        <w:gridCol w:w="1216"/>
        <w:gridCol w:w="735"/>
        <w:gridCol w:w="1239"/>
        <w:gridCol w:w="1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学科岗位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派遣岗位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及其他要求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1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彭州中学附属小学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21101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年龄35周岁以下（1986年9月1日及以后出生）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1、普通高等教育硕士研究生及以上学历毕业生，取得相应学位；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80" w:firstLineChars="200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取得相应教师资格证；暂未取得教师资格证书的人员，可持在有效期内的中小学教师资格考试合格证明或笔试合格成绩（即“中小学教师资格考试NTCE成绩”，幼儿园、小学、中职教师资格为两科笔试成绩，初中、高中教师资格为三科笔试成绩）报名应聘。严格“持证上岗”，所有拟聘人员在办理聘用手续前须取得相应教师资格证书,否则取消聘用资格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3、普通话等级达二级甲等及以上。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80" w:firstLineChars="200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根据工作需要，由彭州市教育人才管理服务中心派遣至彭州中学附属小学工作。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0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彭州中学附属小学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21102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基础数学、计算数学、概率论与数理统计、应用数学、学科教学（数学）</w:t>
            </w: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3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彭州中学附属小学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21107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音乐学、舞蹈学、音乐表演、舞蹈表演及相关教育类</w:t>
            </w: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bookmarkEnd w:id="0"/>
    </w:tbl>
    <w:p>
      <w:pPr>
        <w:spacing w:line="420" w:lineRule="atLeast"/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C72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ascii="Consolas" w:hAnsi="Consolas" w:eastAsia="Consolas" w:cs="Consolas"/>
      <w:sz w:val="21"/>
      <w:szCs w:val="21"/>
      <w:bdr w:val="none" w:color="auto" w:sz="0" w:space="0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38189570BDF14EEC938B4B200118BAD7</vt:lpwstr>
  </property>
</Properties>
</file>