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6477" w:type="pct"/>
        <w:tblCellSpacing w:w="0" w:type="dxa"/>
        <w:tblInd w:w="-1121" w:type="dxa"/>
        <w:tblBorders>
          <w:top w:val="single" w:color="CBD6DB" w:sz="2" w:space="0"/>
          <w:left w:val="single" w:color="CBD6DB" w:sz="2" w:space="0"/>
          <w:bottom w:val="single" w:color="CBD6DB" w:sz="2" w:space="0"/>
          <w:right w:val="single" w:color="CBD6DB" w:sz="2" w:space="0"/>
          <w:insideH w:val="none" w:color="auto" w:sz="0" w:space="0"/>
          <w:insideV w:val="none" w:color="auto" w:sz="0" w:space="0"/>
        </w:tblBorders>
        <w:shd w:val="clear"/>
        <w:tblLayout w:type="autofit"/>
        <w:tblCellMar>
          <w:top w:w="0" w:type="dxa"/>
          <w:left w:w="0" w:type="dxa"/>
          <w:bottom w:w="0" w:type="dxa"/>
          <w:right w:w="0" w:type="dxa"/>
        </w:tblCellMar>
      </w:tblPr>
      <w:tblGrid>
        <w:gridCol w:w="10773"/>
      </w:tblGrid>
      <w:tr>
        <w:tblPrEx>
          <w:tblBorders>
            <w:top w:val="single" w:color="CBD6DB" w:sz="2" w:space="0"/>
            <w:left w:val="single" w:color="CBD6DB" w:sz="2" w:space="0"/>
            <w:bottom w:val="single" w:color="CBD6DB" w:sz="2" w:space="0"/>
            <w:right w:val="single" w:color="CBD6DB" w:sz="2" w:space="0"/>
            <w:insideH w:val="none" w:color="auto" w:sz="0" w:space="0"/>
            <w:insideV w:val="none" w:color="auto" w:sz="0" w:space="0"/>
          </w:tblBorders>
          <w:shd w:val="clear"/>
          <w:tblCellMar>
            <w:top w:w="0" w:type="dxa"/>
            <w:left w:w="0" w:type="dxa"/>
            <w:bottom w:w="0" w:type="dxa"/>
            <w:right w:w="0" w:type="dxa"/>
          </w:tblCellMar>
        </w:tblPrEx>
        <w:trPr>
          <w:trHeight w:val="251" w:hRule="atLeast"/>
          <w:tblCellSpacing w:w="0" w:type="dxa"/>
        </w:trPr>
        <w:tc>
          <w:tcPr>
            <w:tcW w:w="5000" w:type="pct"/>
            <w:shd w:val="clear"/>
            <w:vAlign w:val="center"/>
          </w:tcPr>
          <w:p>
            <w:pPr>
              <w:keepNext w:val="0"/>
              <w:keepLines w:val="0"/>
              <w:widowControl/>
              <w:suppressLineNumbers w:val="0"/>
              <w:spacing w:before="150" w:beforeAutospacing="0" w:after="150" w:afterAutospacing="0" w:line="11" w:lineRule="atLeast"/>
              <w:ind w:left="0" w:right="0"/>
              <w:jc w:val="center"/>
              <w:textAlignment w:val="center"/>
              <w:rPr>
                <w:rFonts w:hint="eastAsia" w:ascii="宋体" w:hAnsi="宋体" w:eastAsia="宋体" w:cs="宋体"/>
                <w:b/>
                <w:color w:val="333333"/>
                <w:sz w:val="24"/>
                <w:szCs w:val="24"/>
              </w:rPr>
            </w:pPr>
            <w:r>
              <w:rPr>
                <w:rFonts w:hint="eastAsia" w:ascii="宋体" w:hAnsi="宋体" w:eastAsia="宋体" w:cs="宋体"/>
                <w:b/>
                <w:color w:val="333333"/>
                <w:kern w:val="0"/>
                <w:sz w:val="24"/>
                <w:szCs w:val="24"/>
                <w:bdr w:val="none" w:color="auto" w:sz="0" w:space="0"/>
                <w:lang w:val="en-US" w:eastAsia="zh-CN" w:bidi="ar"/>
              </w:rPr>
              <w:t>西乡县2021年特岗教师拟聘用人员及自主选岗公告</w:t>
            </w:r>
          </w:p>
        </w:tc>
      </w:tr>
      <w:tr>
        <w:tblPrEx>
          <w:tblBorders>
            <w:top w:val="single" w:color="CBD6DB" w:sz="2" w:space="0"/>
            <w:left w:val="single" w:color="CBD6DB" w:sz="2" w:space="0"/>
            <w:bottom w:val="single" w:color="CBD6DB" w:sz="2" w:space="0"/>
            <w:right w:val="single" w:color="CBD6DB" w:sz="2" w:space="0"/>
            <w:insideH w:val="none" w:color="auto" w:sz="0" w:space="0"/>
            <w:insideV w:val="none" w:color="auto" w:sz="0" w:space="0"/>
          </w:tblBorders>
          <w:shd w:val="clear"/>
          <w:tblCellMar>
            <w:top w:w="0" w:type="dxa"/>
            <w:left w:w="0" w:type="dxa"/>
            <w:bottom w:w="0" w:type="dxa"/>
            <w:right w:w="0" w:type="dxa"/>
          </w:tblCellMar>
        </w:tblPrEx>
        <w:trPr>
          <w:trHeight w:val="251" w:hRule="atLeast"/>
          <w:tblCellSpacing w:w="0" w:type="dxa"/>
        </w:trPr>
        <w:tc>
          <w:tcPr>
            <w:tcW w:w="5000" w:type="pct"/>
            <w:tcBorders>
              <w:bottom w:val="dashed" w:color="666666" w:sz="4" w:space="0"/>
            </w:tcBorders>
            <w:shd w:val="clear"/>
            <w:vAlign w:val="center"/>
          </w:tcPr>
          <w:p>
            <w:pPr>
              <w:keepNext w:val="0"/>
              <w:keepLines w:val="0"/>
              <w:widowControl/>
              <w:suppressLineNumbers w:val="0"/>
              <w:spacing w:line="11" w:lineRule="atLeast"/>
              <w:jc w:val="center"/>
              <w:rPr>
                <w:rFonts w:hint="eastAsia" w:ascii="宋体" w:hAnsi="宋体" w:eastAsia="宋体" w:cs="宋体"/>
                <w:color w:val="666666"/>
                <w:sz w:val="24"/>
                <w:szCs w:val="24"/>
              </w:rPr>
            </w:pPr>
            <w:r>
              <w:rPr>
                <w:rFonts w:hint="eastAsia" w:ascii="宋体" w:hAnsi="宋体" w:eastAsia="宋体" w:cs="宋体"/>
                <w:color w:val="666666"/>
                <w:kern w:val="0"/>
                <w:sz w:val="24"/>
                <w:szCs w:val="24"/>
                <w:bdr w:val="none" w:color="auto" w:sz="0" w:space="0"/>
                <w:lang w:val="en-US" w:eastAsia="zh-CN" w:bidi="ar"/>
              </w:rPr>
              <w:t>开始时间：2021-09-03   结束时间：2021-09-08</w:t>
            </w:r>
          </w:p>
        </w:tc>
      </w:tr>
      <w:tr>
        <w:tblPrEx>
          <w:tblBorders>
            <w:top w:val="single" w:color="CBD6DB" w:sz="2" w:space="0"/>
            <w:left w:val="single" w:color="CBD6DB" w:sz="2" w:space="0"/>
            <w:bottom w:val="single" w:color="CBD6DB" w:sz="2" w:space="0"/>
            <w:right w:val="single" w:color="CBD6DB" w:sz="2"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5000" w:type="pct"/>
            <w:tcBorders>
              <w:bottom w:val="dashed" w:color="666666" w:sz="4" w:space="0"/>
            </w:tcBorders>
            <w:shd w:val="clear"/>
            <w:tcMar>
              <w:top w:w="200" w:type="dxa"/>
              <w:bottom w:w="200" w:type="dxa"/>
            </w:tcMar>
            <w:vAlign w:val="center"/>
          </w:tcPr>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各考生：</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根据《西乡县2021年特岗教师招聘公告》，现将2021年西乡县特岗教师自主选岗工作有关事项公告如下：</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一、拟聘用人员公示</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2021年西乡县特岗教师公开招考拟聘用人员（名单见附件）进行公示，公示期5天。公示期间接受广大考生、家长和社会各界的监督。监督电话：0916-6323421，0916-6323420</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二、选岗时间地点</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2021年西乡县特岗教师拟拟聘用人员于2021年9月6日下午2:30—5:00 在县教体局组织人事股报到，9月7日上午9：00,持《身份证》原件、《笔试准考证》在西乡县第二中学报告厅签到选岗。迟到考生不得进场，视为自动放弃。</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三、岗位设置情况</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初中语文：隆基中学、私渡镇九年制学校</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初中英语：两河口镇初级中学、高川镇初级中学、沙河镇初级中学、大河镇九年制学校</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初中历史：两河口镇初级中学、桑园镇初级中学</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初中地理：高川镇初级中学</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初中数学：两河口镇初级中学、高川镇初级中学、峡口镇初级中学、子午镇九年制学校、白勉峡镇马家湾九年制学校、大河镇九年制学校、骆家坝镇九年制学校、私渡镇九年制学校</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初中物理：两河口镇初级中学</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初中体育：两河口镇初级中学、高川镇初级中学、茶镇九年制学校、白龙塘镇九年制学校、白勉峡镇九年制学校</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初中音乐：茶镇九年制学校、堰口镇古城九年制学校、柳树镇民族学校、骆家坝镇九年制学校</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小学语文①：茶镇九年制学校、白龙塘镇九年制学校、白勉峡镇九年制学校、堰口镇司上小学、堰口镇马桑湾小学、杨河镇中心学校、骆家坝镇九年制学校、私渡镇九年制学校、沙河镇中心学校、沙河镇苦竹小学</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小学语文②：两河口镇黎家庙小学、高川镇庙垭小学、高川镇鸳鸯池村教学点、大河镇九年制学校、大河镇楼房教学点、峡口镇左溪小学、峡口镇麻柳小学、子午镇七星坝教学点、私渡镇廷水小学</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小学数学：两河口镇中心学校、两河口镇柏树垭小学、高川镇中心学校、高川镇上高川小学、高川镇五里坝小学、高川镇前进村教学点、白龙塘镇九年制学校、白勉峡镇马家湾九年制学校、堰口镇司上小学、堰口镇葛家河村教学点、柳树镇民族学校、峡口镇文贯小学、骆家坝镇钟家沟小学、沙河镇中心学校、桑园镇中心学校</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小学英语：两河口镇黎家庙小学、子午镇九年制学校、子午镇中心学校、堰口镇西河小学</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小学音乐：高川镇中心学校、白勉峡镇马家湾九年制学校、堰口镇九年制学校、峡口镇中心学校、私渡镇九年制学校、沙河镇中心学校、桑园镇中心学校</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小学（学前班方向）：两河口镇中心学校学前班、高川镇上高川学前班、堰口镇九年制学校学前班、堰口镇司上学前班、堰口镇古城安置区学前班、柳树镇民族学前班、骆家坝镇钟家沟学前班、沙河镇苦竹学前班</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四、选岗规则及顺序</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2021年特岗教师招聘岗位共分14个组别，分别是初中语文、初中英语、初中历史、初中地理、初中数学、初中物理、初中体育、初中音乐、小学语文①、小学语文②、小学数学、小学英语、小学音乐、小学（学前班方向）。每一组别由新招聘教师本人按照总成绩由高到低依次自主选定到设岗学校。若综合成绩排名并列的，按以下优先原则选定岗位：笔试成绩高者优先、学科专业知识成绩高者优先、脱贫户考生优先、本地生源优先、研究生和师范教育类本科生优先。调剂了岗位的，从调剂出的岗位按总成绩从高到低由考生依序自主选定。</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五、注意事项</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1. 各位考生应根据选岗工作安排，提前关注天气及路况，妥善安排时间，不得迟到。迟到者视为放弃，后果自负。</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2.选岗工作当天，考生食宿、交通自理，安全自负。</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3.选岗结束，县教体局将安排各校接送新任教师到校上岗，各位考生需提前自备行李（被褥及其他生活用品）。</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附件：西乡县2021年特岗教师招聘拟聘用人员名单</w:t>
            </w:r>
          </w:p>
          <w:p>
            <w:pPr>
              <w:pStyle w:val="2"/>
              <w:keepNext w:val="0"/>
              <w:keepLines w:val="0"/>
              <w:widowControl/>
              <w:suppressLineNumbers w:val="0"/>
              <w:spacing w:line="280" w:lineRule="atLeast"/>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 </w:t>
            </w:r>
          </w:p>
          <w:p>
            <w:pPr>
              <w:pStyle w:val="2"/>
              <w:keepNext w:val="0"/>
              <w:keepLines w:val="0"/>
              <w:widowControl/>
              <w:suppressLineNumbers w:val="0"/>
              <w:spacing w:line="280" w:lineRule="atLeast"/>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                    西乡县特岗办</w:t>
            </w:r>
          </w:p>
          <w:p>
            <w:pPr>
              <w:pStyle w:val="2"/>
              <w:keepNext w:val="0"/>
              <w:keepLines w:val="0"/>
              <w:widowControl/>
              <w:suppressLineNumbers w:val="0"/>
              <w:spacing w:line="280" w:lineRule="atLeast"/>
              <w:jc w:val="center"/>
              <w:rPr>
                <w:rFonts w:hint="eastAsia" w:ascii="宋体" w:hAnsi="宋体" w:eastAsia="宋体" w:cs="宋体"/>
                <w:sz w:val="24"/>
                <w:szCs w:val="24"/>
              </w:rPr>
            </w:pPr>
            <w:r>
              <w:rPr>
                <w:rFonts w:hint="eastAsia" w:ascii="宋体" w:hAnsi="宋体" w:eastAsia="宋体" w:cs="宋体"/>
                <w:color w:val="333333"/>
                <w:sz w:val="24"/>
                <w:szCs w:val="24"/>
                <w:bdr w:val="none" w:color="auto" w:sz="0" w:space="0"/>
              </w:rPr>
              <w:t>                    2021年9月3日</w:t>
            </w:r>
          </w:p>
          <w:tbl>
            <w:tblPr>
              <w:tblW w:w="10758" w:type="dxa"/>
              <w:jc w:val="center"/>
              <w:tblCellSpacing w:w="0" w:type="dxa"/>
              <w:shd w:val="clear"/>
              <w:tblLayout w:type="autofit"/>
              <w:tblCellMar>
                <w:top w:w="0" w:type="dxa"/>
                <w:left w:w="0" w:type="dxa"/>
                <w:bottom w:w="0" w:type="dxa"/>
                <w:right w:w="0" w:type="dxa"/>
              </w:tblCellMar>
            </w:tblPr>
            <w:tblGrid>
              <w:gridCol w:w="360"/>
              <w:gridCol w:w="1094"/>
              <w:gridCol w:w="789"/>
              <w:gridCol w:w="1163"/>
              <w:gridCol w:w="650"/>
              <w:gridCol w:w="1512"/>
              <w:gridCol w:w="1063"/>
              <w:gridCol w:w="1200"/>
              <w:gridCol w:w="1537"/>
              <w:gridCol w:w="1150"/>
              <w:gridCol w:w="240"/>
            </w:tblGrid>
            <w:tr>
              <w:tblPrEx>
                <w:shd w:val="clear"/>
                <w:tblCellMar>
                  <w:top w:w="0" w:type="dxa"/>
                  <w:left w:w="0" w:type="dxa"/>
                  <w:bottom w:w="0" w:type="dxa"/>
                  <w:right w:w="0" w:type="dxa"/>
                </w:tblCellMar>
              </w:tblPrEx>
              <w:trPr>
                <w:trHeight w:val="390" w:hRule="atLeast"/>
                <w:tblCellSpacing w:w="0" w:type="dxa"/>
                <w:jc w:val="center"/>
              </w:trPr>
              <w:tc>
                <w:tcPr>
                  <w:tcW w:w="10518" w:type="dxa"/>
                  <w:gridSpan w:val="10"/>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center"/>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西乡县2021年特岗教师招聘体检资格复审结果及拟聘用人员名单</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center"/>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序号</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报考岗位</w:t>
                  </w:r>
                </w:p>
              </w:tc>
              <w:tc>
                <w:tcPr>
                  <w:tcW w:w="789"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招聘人数</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姓名</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性别</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准考证号</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体检</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结果</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资格复</w:t>
                  </w:r>
                  <w:r>
                    <w:rPr>
                      <w:rFonts w:hint="eastAsia" w:ascii="宋体" w:hAnsi="宋体" w:eastAsia="宋体" w:cs="宋体"/>
                      <w:color w:val="333333"/>
                      <w:kern w:val="0"/>
                      <w:sz w:val="24"/>
                      <w:szCs w:val="24"/>
                      <w:bdr w:val="none" w:color="auto" w:sz="0" w:space="0"/>
                      <w:lang w:val="en-US" w:eastAsia="zh-CN" w:bidi="ar"/>
                    </w:rPr>
                    <w:br w:type="textWrapping"/>
                  </w:r>
                  <w:r>
                    <w:rPr>
                      <w:rFonts w:hint="eastAsia" w:ascii="宋体" w:hAnsi="宋体" w:eastAsia="宋体" w:cs="宋体"/>
                      <w:color w:val="333333"/>
                      <w:kern w:val="0"/>
                      <w:sz w:val="24"/>
                      <w:szCs w:val="24"/>
                      <w:bdr w:val="none" w:color="auto" w:sz="0" w:space="0"/>
                      <w:lang w:val="en-US" w:eastAsia="zh-CN" w:bidi="ar"/>
                    </w:rPr>
                    <w:t>审结果</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是否拟聘用</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备注</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初中语文</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喻清平</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68071040155</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初中语文</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许静雯</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68071040173</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初中英语</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金倩茹</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68071060402</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初中英语</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杨琴</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68071060391</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初中英语</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秦宁</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68071060403</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初中英语</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刘思</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68071060397</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初中历史</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许怡茜</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68071080591</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8</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初中历史</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李芳瑶</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68071080586</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9</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初中地理</w:t>
                  </w:r>
                </w:p>
              </w:tc>
              <w:tc>
                <w:tcPr>
                  <w:tcW w:w="789"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王柯欢</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68071090629</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10</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初中数学</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8</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程前</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68071050257</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11</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严丽</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68071050261</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12</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曹锐</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68071050254</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13</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刘文静</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68071050259</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14</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王晨曦</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68071050256</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15</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袁芳芳</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68071050255</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16</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刘潇</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68071050260</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17</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初中物理</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贾小芳</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68071100655</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递补到初中数学</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18</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初中物理</w:t>
                  </w:r>
                </w:p>
              </w:tc>
              <w:tc>
                <w:tcPr>
                  <w:tcW w:w="789"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赖昌军</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68071100654</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19</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初中体育</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李杏</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68071130783</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20</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初中体育</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万兆发</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68071130773</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21</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初中体育</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崔鸿</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68071130786</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22</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初中体育</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聂波</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68071130781</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23</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初中体育</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荣苗苗</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68071130780</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24</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初中音乐</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田昊鑫</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68071140833</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25</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初中音乐</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罗耀武</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68071140831</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26</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初中音乐</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张鑫</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68071140829</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27</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初中体育</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唐国垒</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68071130789</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递补到初中音乐</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28</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10</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周慧慧</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68072040963</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29</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杨玉梅</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68072040965</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30</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梅雅欣</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68072041023</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31</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周升佩</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68072040981</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32</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胡婷</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68072040954</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33</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李梅</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68072041002</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34</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覃婷</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68072041045</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35</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何姗姗</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68072041012</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36</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杨丹妮</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68072040956</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37</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罗兰</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68072040936</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38</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小学语文②</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9</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徐尧</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68072041000</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39</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小学语文②</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李娅</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68072040942</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40</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小学语文②</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张伟楠</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68072040949</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41</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小学语文②</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李森</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68072041030</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42</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小学语文②</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罗壮壮</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68072040932</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43</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小学语文②</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张甄</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68072040968</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44</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小学语文②</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张宁宁</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68072041039</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45</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小学语文②</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王利</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68072040937</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46</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小学语文②</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杨凡</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68072040982</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47</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15</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王世彪</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68072052078</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48</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杨柔柔</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68072052084</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49</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屈心怡</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68072052106</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50</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周田</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68072052131</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51</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王莎</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68072052129</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52</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李婷</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68072052092</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不合格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否</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53</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贺思雨</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68072052122</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54</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罗啸帮</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68072052109</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55</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万琪</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68072052124</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56</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于林</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68072052132</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57</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焦巧巧</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68072052110</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58</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张白坪</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68072052118</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59</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杨柳</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68072052107</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60</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郑欢</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68072052115</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61</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强勇</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68072052119</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62</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小学数学</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罗瑞</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68072052126</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递补</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63</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小学英语</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4</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胡荣荣</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68072062815</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64</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小学英语</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杨笠</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68072062810</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65</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小学英语</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徐亚兰</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68072062800</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66</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小学英语</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李敏</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68072062813</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67</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小学音乐</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蒲鑫</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68072143164</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小学音乐</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焦玄烨</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68072143163</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69</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小学音乐</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赵吴栓</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男</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68072143161</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70</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小学音乐</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杨秦</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68072143158</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71</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小学音乐</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周璇</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68072143165</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72</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小学音乐</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刘诗璇</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68072143160</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73</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小学语文①</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张运</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68072041031</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递补到小学音乐</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74</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小学（学前班方向）</w:t>
                  </w:r>
                </w:p>
              </w:tc>
              <w:tc>
                <w:tcPr>
                  <w:tcW w:w="789" w:type="dxa"/>
                  <w:vMerge w:val="restart"/>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8</w:t>
                  </w: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孟媛</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68073163967</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75</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小学（学前班方向）</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肖苗</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68073163936</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76</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小学（学前班方向）</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李琦琦</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68073163888</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77</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小学（学前班方向）</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祝晓宇</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68073163968</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78</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小学（学前班方向）</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胡钰琳</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68073163874</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79</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小学（学前班方向）</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梁瑞</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68073163903</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shd w:val="clear"/>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80</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小学（学前班方向）</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屈艳玲</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68073163877</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r>
              <w:tblPrEx>
                <w:tblCellMar>
                  <w:top w:w="0" w:type="dxa"/>
                  <w:left w:w="0" w:type="dxa"/>
                  <w:bottom w:w="0" w:type="dxa"/>
                  <w:right w:w="0" w:type="dxa"/>
                </w:tblCellMar>
              </w:tblPrEx>
              <w:trPr>
                <w:trHeight w:val="320" w:hRule="atLeast"/>
                <w:tblCellSpacing w:w="0" w:type="dxa"/>
                <w:jc w:val="center"/>
              </w:trPr>
              <w:tc>
                <w:tcPr>
                  <w:tcW w:w="36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81</w:t>
                  </w:r>
                </w:p>
              </w:tc>
              <w:tc>
                <w:tcPr>
                  <w:tcW w:w="1094"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小学（学前班方向）</w:t>
                  </w:r>
                </w:p>
              </w:tc>
              <w:tc>
                <w:tcPr>
                  <w:tcW w:w="789" w:type="dxa"/>
                  <w:vMerge w:val="continue"/>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rPr>
                      <w:rFonts w:hint="eastAsia" w:ascii="宋体" w:hAnsi="宋体" w:eastAsia="宋体" w:cs="宋体"/>
                      <w:color w:val="333333"/>
                      <w:sz w:val="24"/>
                      <w:szCs w:val="24"/>
                    </w:rPr>
                  </w:pPr>
                </w:p>
              </w:tc>
              <w:tc>
                <w:tcPr>
                  <w:tcW w:w="11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李敏</w:t>
                  </w:r>
                </w:p>
              </w:tc>
              <w:tc>
                <w:tcPr>
                  <w:tcW w:w="6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女</w:t>
                  </w:r>
                </w:p>
              </w:tc>
              <w:tc>
                <w:tcPr>
                  <w:tcW w:w="1512"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68073163862</w:t>
                  </w:r>
                </w:p>
              </w:tc>
              <w:tc>
                <w:tcPr>
                  <w:tcW w:w="1063"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20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合格</w:t>
                  </w:r>
                </w:p>
              </w:tc>
              <w:tc>
                <w:tcPr>
                  <w:tcW w:w="1537"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是</w:t>
                  </w:r>
                </w:p>
              </w:tc>
              <w:tc>
                <w:tcPr>
                  <w:tcW w:w="115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sz w:val="24"/>
                      <w:szCs w:val="24"/>
                    </w:rPr>
                  </w:pPr>
                  <w:r>
                    <w:rPr>
                      <w:rFonts w:hint="eastAsia" w:ascii="宋体" w:hAnsi="宋体" w:eastAsia="宋体" w:cs="宋体"/>
                      <w:color w:val="333333"/>
                      <w:kern w:val="0"/>
                      <w:sz w:val="24"/>
                      <w:szCs w:val="24"/>
                      <w:bdr w:val="none" w:color="auto" w:sz="0" w:space="0"/>
                      <w:lang w:val="en-US" w:eastAsia="zh-CN" w:bidi="ar"/>
                    </w:rPr>
                    <w:t>　</w:t>
                  </w:r>
                </w:p>
              </w:tc>
              <w:tc>
                <w:tcPr>
                  <w:tcW w:w="240" w:type="dxa"/>
                  <w:tcBorders>
                    <w:top w:val="single" w:color="888888" w:sz="4" w:space="0"/>
                    <w:left w:val="single" w:color="888888" w:sz="4" w:space="0"/>
                    <w:bottom w:val="single" w:color="888888" w:sz="4" w:space="0"/>
                    <w:right w:val="single" w:color="888888" w:sz="4" w:space="0"/>
                  </w:tcBorders>
                  <w:shd w:val="clear"/>
                  <w:tcMar>
                    <w:top w:w="50" w:type="dxa"/>
                    <w:left w:w="50" w:type="dxa"/>
                    <w:bottom w:w="50" w:type="dxa"/>
                    <w:right w:w="50" w:type="dxa"/>
                  </w:tcMar>
                  <w:vAlign w:val="center"/>
                </w:tcPr>
                <w:p>
                  <w:pPr>
                    <w:keepNext w:val="0"/>
                    <w:keepLines w:val="0"/>
                    <w:widowControl/>
                    <w:suppressLineNumbers w:val="0"/>
                    <w:wordWrap w:val="0"/>
                    <w:spacing w:line="11" w:lineRule="atLeast"/>
                    <w:jc w:val="left"/>
                    <w:rPr>
                      <w:rFonts w:hint="eastAsia" w:ascii="宋体" w:hAnsi="宋体" w:eastAsia="宋体" w:cs="宋体"/>
                      <w:color w:val="333333"/>
                      <w:kern w:val="0"/>
                      <w:sz w:val="24"/>
                      <w:szCs w:val="24"/>
                      <w:bdr w:val="none" w:color="auto" w:sz="0" w:space="0"/>
                      <w:lang w:val="en-US" w:eastAsia="zh-CN" w:bidi="ar"/>
                    </w:rPr>
                  </w:pPr>
                </w:p>
              </w:tc>
            </w:tr>
          </w:tbl>
          <w:p>
            <w:pPr>
              <w:wordWrap w:val="0"/>
              <w:spacing w:line="11" w:lineRule="atLeast"/>
              <w:rPr>
                <w:rFonts w:hint="eastAsia" w:ascii="宋体" w:hAnsi="宋体" w:eastAsia="宋体" w:cs="宋体"/>
                <w:color w:val="333333"/>
                <w:sz w:val="24"/>
                <w:szCs w:val="24"/>
              </w:rPr>
            </w:pPr>
          </w:p>
        </w:tc>
      </w:tr>
      <w:tr>
        <w:tblPrEx>
          <w:tblBorders>
            <w:top w:val="single" w:color="CBD6DB" w:sz="2" w:space="0"/>
            <w:left w:val="single" w:color="CBD6DB" w:sz="2" w:space="0"/>
            <w:bottom w:val="single" w:color="CBD6DB" w:sz="2" w:space="0"/>
            <w:right w:val="single" w:color="CBD6DB" w:sz="2"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5000" w:type="pct"/>
            <w:shd w:val="clear"/>
            <w:vAlign w:val="center"/>
          </w:tcPr>
          <w:p>
            <w:pPr>
              <w:rPr>
                <w:rFonts w:hint="eastAsia" w:ascii="宋体" w:hAnsi="宋体" w:eastAsia="宋体" w:cs="宋体"/>
                <w:color w:val="333333"/>
                <w:sz w:val="24"/>
                <w:szCs w:val="24"/>
              </w:rPr>
            </w:pPr>
          </w:p>
        </w:tc>
      </w:tr>
    </w:tbl>
    <w:p>
      <w:pPr>
        <w:keepNext w:val="0"/>
        <w:keepLines w:val="0"/>
        <w:widowControl/>
        <w:suppressLineNumbers w:val="0"/>
        <w:pBdr>
          <w:left w:val="none" w:color="auto" w:sz="0" w:space="0"/>
          <w:right w:val="none" w:color="auto" w:sz="0" w:space="0"/>
        </w:pBdr>
        <w:spacing w:after="120" w:afterAutospacing="0" w:line="11" w:lineRule="atLeast"/>
        <w:ind w:left="0" w:right="0"/>
        <w:jc w:val="left"/>
        <w:rPr>
          <w:rFonts w:hint="default" w:ascii="Helvetica" w:hAnsi="Helvetica" w:eastAsia="Helvetica" w:cs="Helvetica"/>
          <w:color w:val="333333"/>
          <w:sz w:val="12"/>
          <w:szCs w:val="1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lyphicons Halflings">
    <w:altName w:val="Segoe Print"/>
    <w:panose1 w:val="00000000000000000000"/>
    <w:charset w:val="00"/>
    <w:family w:val="auto"/>
    <w:pitch w:val="default"/>
    <w:sig w:usb0="00000000" w:usb1="00000000" w:usb2="00000000" w:usb3="00000000" w:csb0="00000000" w:csb1="00000000"/>
  </w:font>
  <w:font w:name="FontAwesome">
    <w:altName w:val="Segoe Print"/>
    <w:panose1 w:val="00000000000000000000"/>
    <w:charset w:val="00"/>
    <w:family w:val="auto"/>
    <w:pitch w:val="default"/>
    <w:sig w:usb0="00000000" w:usb1="00000000" w:usb2="00000000" w:usb3="00000000" w:csb0="00000000" w:csb1="00000000"/>
  </w:font>
  <w:font w:name="Consolas">
    <w:panose1 w:val="020B0609020204030204"/>
    <w:charset w:val="00"/>
    <w:family w:val="auto"/>
    <w:pitch w:val="default"/>
    <w:sig w:usb0="E00006FF" w:usb1="0000FCFF" w:usb2="00000001" w:usb3="00000000" w:csb0="6000019F" w:csb1="DFD70000"/>
  </w:font>
  <w:font w:name="Segoe Print">
    <w:panose1 w:val="02000600000000000000"/>
    <w:charset w:val="00"/>
    <w:family w:val="auto"/>
    <w:pitch w:val="default"/>
    <w:sig w:usb0="0000028F" w:usb1="00000000" w:usb2="00000000" w:usb3="00000000" w:csb0="2000009F" w:csb1="4701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FD018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0" w:after="100" w:afterAutospacing="0"/>
      <w:ind w:left="0" w:right="0"/>
      <w:jc w:val="left"/>
    </w:pPr>
    <w:rPr>
      <w:kern w:val="0"/>
      <w:sz w:val="24"/>
      <w:lang w:val="en-US" w:eastAsia="zh-CN" w:bidi="ar"/>
    </w:rPr>
  </w:style>
  <w:style w:type="character" w:styleId="5">
    <w:name w:val="Strong"/>
    <w:basedOn w:val="4"/>
    <w:qFormat/>
    <w:uiPriority w:val="0"/>
    <w:rPr>
      <w:b/>
      <w:color w:val="307ECC"/>
      <w:sz w:val="24"/>
      <w:szCs w:val="24"/>
      <w:bdr w:val="single" w:color="BBC0CA" w:sz="4" w:space="0"/>
      <w:shd w:val="clear" w:fill="F7F8FA"/>
    </w:rPr>
  </w:style>
  <w:style w:type="character" w:styleId="6">
    <w:name w:val="FollowedHyperlink"/>
    <w:basedOn w:val="4"/>
    <w:uiPriority w:val="0"/>
    <w:rPr>
      <w:color w:val="4D6EB7"/>
      <w:u w:val="none"/>
    </w:rPr>
  </w:style>
  <w:style w:type="character" w:styleId="7">
    <w:name w:val="HTML Definition"/>
    <w:basedOn w:val="4"/>
    <w:uiPriority w:val="0"/>
    <w:rPr>
      <w:i/>
    </w:rPr>
  </w:style>
  <w:style w:type="character" w:styleId="8">
    <w:name w:val="Hyperlink"/>
    <w:basedOn w:val="4"/>
    <w:uiPriority w:val="0"/>
    <w:rPr>
      <w:color w:val="4D6EB7"/>
      <w:u w:val="none"/>
    </w:rPr>
  </w:style>
  <w:style w:type="character" w:styleId="9">
    <w:name w:val="HTML Code"/>
    <w:basedOn w:val="4"/>
    <w:uiPriority w:val="0"/>
    <w:rPr>
      <w:rFonts w:hint="default" w:ascii="Consolas" w:hAnsi="Consolas" w:eastAsia="Consolas" w:cs="Consolas"/>
      <w:color w:val="C7254E"/>
      <w:sz w:val="21"/>
      <w:szCs w:val="21"/>
      <w:bdr w:val="none" w:color="auto" w:sz="0" w:space="0"/>
      <w:shd w:val="clear" w:fill="F9F2F4"/>
    </w:rPr>
  </w:style>
  <w:style w:type="character" w:styleId="10">
    <w:name w:val="HTML Cite"/>
    <w:basedOn w:val="4"/>
    <w:uiPriority w:val="0"/>
  </w:style>
  <w:style w:type="character" w:styleId="11">
    <w:name w:val="HTML Keyboard"/>
    <w:basedOn w:val="4"/>
    <w:uiPriority w:val="0"/>
    <w:rPr>
      <w:rFonts w:hint="default" w:ascii="Consolas" w:hAnsi="Consolas" w:eastAsia="Consolas" w:cs="Consolas"/>
      <w:color w:val="FFFFFF"/>
      <w:sz w:val="21"/>
      <w:szCs w:val="21"/>
      <w:bdr w:val="none" w:color="auto" w:sz="0" w:space="0"/>
      <w:shd w:val="clear" w:fill="333333"/>
    </w:rPr>
  </w:style>
  <w:style w:type="character" w:styleId="12">
    <w:name w:val="HTML Sample"/>
    <w:basedOn w:val="4"/>
    <w:uiPriority w:val="0"/>
    <w:rPr>
      <w:rFonts w:ascii="Consolas" w:hAnsi="Consolas" w:eastAsia="Consolas" w:cs="Consolas"/>
      <w:sz w:val="21"/>
      <w:szCs w:val="21"/>
    </w:rPr>
  </w:style>
  <w:style w:type="character" w:customStyle="1" w:styleId="13">
    <w:name w:val="ui-icon"/>
    <w:basedOn w:val="4"/>
    <w:uiPriority w:val="0"/>
  </w:style>
  <w:style w:type="character" w:customStyle="1" w:styleId="14">
    <w:name w:val="ui-icon1"/>
    <w:basedOn w:val="4"/>
    <w:uiPriority w:val="0"/>
  </w:style>
  <w:style w:type="character" w:customStyle="1" w:styleId="15">
    <w:name w:val="input-icon"/>
    <w:basedOn w:val="4"/>
    <w:uiPriority w:val="0"/>
  </w:style>
  <w:style w:type="character" w:customStyle="1" w:styleId="16">
    <w:name w:val="ui-jqgrid-resize"/>
    <w:basedOn w:val="4"/>
    <w:uiPriority w:val="0"/>
  </w:style>
  <w:style w:type="character" w:customStyle="1" w:styleId="17">
    <w:name w:val="button"/>
    <w:basedOn w:val="4"/>
    <w:uiPriority w:val="0"/>
    <w:rPr>
      <w:bdr w:val="none" w:color="auto" w:sz="0" w:space="0"/>
    </w:rPr>
  </w:style>
  <w:style w:type="character" w:customStyle="1" w:styleId="18">
    <w:name w:val="before"/>
    <w:basedOn w:val="4"/>
    <w:uiPriority w:val="0"/>
    <w:rPr>
      <w:rFonts w:hint="default" w:ascii="FontAwesome" w:hAnsi="FontAwesome" w:eastAsia="FontAwesome" w:cs="FontAwesome"/>
      <w:color w:val="888888"/>
      <w:sz w:val="12"/>
      <w:szCs w:val="12"/>
    </w:rPr>
  </w:style>
  <w:style w:type="character" w:customStyle="1" w:styleId="19">
    <w:name w:val="before1"/>
    <w:basedOn w:val="4"/>
    <w:uiPriority w:val="0"/>
    <w:rPr>
      <w:rFonts w:hint="default" w:ascii="FontAwesome" w:hAnsi="FontAwesome" w:eastAsia="FontAwesome" w:cs="FontAwesome"/>
      <w:color w:val="888888"/>
      <w:sz w:val="12"/>
      <w:szCs w:val="12"/>
    </w:rPr>
  </w:style>
  <w:style w:type="character" w:customStyle="1" w:styleId="20">
    <w:name w:val="tmpztreemove_arrow"/>
    <w:basedOn w:val="4"/>
    <w:uiPriority w:val="0"/>
    <w:rPr>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2021-09-06T10:02:31Z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