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附件4：</w:t>
      </w:r>
    </w:p>
    <w:p>
      <w:pPr>
        <w:widowControl/>
        <w:adjustRightInd w:val="0"/>
        <w:snapToGrid w:val="0"/>
        <w:spacing w:line="300" w:lineRule="auto"/>
        <w:jc w:val="center"/>
        <w:outlineLvl w:val="0"/>
        <w:rPr>
          <w:rFonts w:ascii="宋体" w:hAnsi="宋体" w:cs="宋体"/>
          <w:b/>
          <w:bCs/>
          <w:kern w:val="36"/>
          <w:sz w:val="44"/>
          <w:szCs w:val="44"/>
        </w:rPr>
      </w:pPr>
      <w:r>
        <w:rPr>
          <w:rFonts w:ascii="宋体" w:hAnsi="宋体" w:cs="宋体"/>
          <w:b/>
          <w:bCs/>
          <w:kern w:val="36"/>
          <w:sz w:val="44"/>
          <w:szCs w:val="44"/>
        </w:rPr>
        <w:t>粤省事“粤康码”操作指引</w:t>
      </w:r>
    </w:p>
    <w:p>
      <w:pPr>
        <w:widowControl/>
        <w:adjustRightInd w:val="0"/>
        <w:snapToGrid w:val="0"/>
        <w:spacing w:line="300" w:lineRule="auto"/>
        <w:jc w:val="center"/>
        <w:rPr>
          <w:rFonts w:ascii="宋体" w:hAnsi="宋体" w:cs="宋体"/>
          <w:color w:val="8E8E8E"/>
          <w:kern w:val="0"/>
          <w:szCs w:val="21"/>
        </w:rPr>
      </w:pPr>
    </w:p>
    <w:p>
      <w:pPr>
        <w:widowControl/>
        <w:shd w:val="clear" w:color="auto" w:fill="FFFFFF"/>
        <w:adjustRightInd w:val="0"/>
        <w:snapToGrid w:val="0"/>
        <w:spacing w:line="300" w:lineRule="auto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hint="eastAsia" w:ascii="微软雅黑" w:hAnsi="微软雅黑" w:eastAsia="微软雅黑" w:cs="宋体"/>
          <w:b/>
          <w:bCs/>
          <w:color w:val="424242"/>
          <w:kern w:val="0"/>
          <w:sz w:val="27"/>
        </w:rPr>
        <w:t>（一）粤省事“粤康码”访问入口</w:t>
      </w:r>
    </w:p>
    <w:p>
      <w:pPr>
        <w:widowControl/>
        <w:shd w:val="clear" w:color="auto" w:fill="FFFFFF"/>
        <w:adjustRightInd w:val="0"/>
        <w:snapToGrid w:val="0"/>
        <w:spacing w:line="300" w:lineRule="auto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1．使用微信扫描以下小程序码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2066925" cy="2085975"/>
            <wp:effectExtent l="19050" t="0" r="9525" b="0"/>
            <wp:docPr id="2" name="图片 2" descr="粤康码使用指引（第五版）2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粤康码使用指引（第五版）2066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adjustRightInd w:val="0"/>
        <w:snapToGrid w:val="0"/>
        <w:spacing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图2-1 粤省事“粤康码”小程序码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2．在微信搜索“粤省事”小程序，打开该小程序后点击“粤康码”，或在“疫情防控服务专区”页面访问“我的粤康码”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1781175" cy="3276600"/>
            <wp:effectExtent l="19050" t="0" r="9525" b="0"/>
            <wp:docPr id="3" name="图片 3" descr="粤康码使用指引（第五版）2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粤康码使用指引（第五版）214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图2-2 粤省事小程序首页“粤康码”入口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1466850" cy="3248025"/>
            <wp:effectExtent l="19050" t="0" r="0" b="0"/>
            <wp:docPr id="4" name="图片 4" descr="粤康码使用指引（第五版）2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粤康码使用指引（第五版）216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图2-3 “疫情防控服务专区”粤省事“粤康码”入口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hint="eastAsia" w:ascii="微软雅黑" w:hAnsi="微软雅黑" w:eastAsia="微软雅黑" w:cs="宋体"/>
          <w:b/>
          <w:bCs/>
          <w:color w:val="424242"/>
          <w:kern w:val="0"/>
          <w:sz w:val="27"/>
        </w:rPr>
        <w:t>（二）登录查看粤省事“粤康码”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扫码或点击“粤康码”入口后，按以下步骤完成登录操作，登录成功后即可查看并出示“粤康码”。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1．持内地居民身份证人员登录查看“粤康码”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（1）进入选择“登录方式”，选择“人脸识别登录”或“微信支付密码登录”方式，进入下一步。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（2）若采用人脸识别登录，建议在刷脸过程中临时取下口罩，便于识别。如果微信支付密码无法通过认证，请确认是否为本人登录及绑定本人的银行卡（微信支付密码认证不会产生任何扣费行为）。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5200650" cy="7305675"/>
            <wp:effectExtent l="19050" t="0" r="0" b="0"/>
            <wp:docPr id="5" name="图片 5" descr="http://www.lianjiang.gov.cn/zjljxzfw/img/0/106/106905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://www.lianjiang.gov.cn/zjljxzfw/img/0/106/106905/1422295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图2-4 身份证人脸识别登录步骤指引界面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4495800" cy="8124825"/>
            <wp:effectExtent l="19050" t="0" r="0" b="0"/>
            <wp:docPr id="6" name="图片 6" descr="http://www.lianjiang.gov.cn/zjljxzfw/img/0/106/106907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http://www.lianjiang.gov.cn/zjljxzfw/img/0/106/106907/1422295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图2-5 身份证微信支付登录步骤指引界面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2．持港澳居民来往内地通行证人员查看“粤康码”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（1）进入选择“登录方式”，选择“使用人脸识别登录”方式，进入下一步。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4953000" cy="3971925"/>
            <wp:effectExtent l="19050" t="0" r="0" b="0"/>
            <wp:docPr id="7" name="图片 7" descr="http://www.lianjiang.gov.cn/zjljxzfw/img/0/106/106904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ttp://www.lianjiang.gov.cn/zjljxzfw/img/0/106/106904/142229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图2-6 选择登录方式界面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（2）确认证件类型，选定“港澳居民来往内地通行证”，填入个人信息，点击同意用户协议，进入“网证CTID”认证个人信息后可选择“反光识别”或“读数识别”刷脸登录。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4076700" cy="6381750"/>
            <wp:effectExtent l="19050" t="0" r="0" b="0"/>
            <wp:docPr id="8" name="图片 8" descr="http://www.lianjiang.gov.cn/zjljxzfw/img/0/106/106909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://www.lianjiang.gov.cn/zjljxzfw/img/0/106/106909/1422295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图2-7 刷脸登录流程界面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hint="eastAsia" w:ascii="微软雅黑" w:hAnsi="微软雅黑" w:eastAsia="微软雅黑" w:cs="宋体"/>
          <w:b/>
          <w:bCs/>
          <w:color w:val="424242"/>
          <w:kern w:val="0"/>
          <w:sz w:val="27"/>
        </w:rPr>
        <w:t>（三）粤省事“粤康码”功能及使用说明</w:t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1．查看“粤康码”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5429250" cy="3771900"/>
            <wp:effectExtent l="19050" t="0" r="0" b="0"/>
            <wp:docPr id="13" name="图片 13" descr="http://www.lianjiang.gov.cn/zjljxzfw/img/0/106/106914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http://www.lianjiang.gov.cn/zjljxzfw/img/0/106/106914/1422295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图2-8 粤省事“粤康码”界面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目前“粤康码”有红码、黄码、绿码三种标识：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红码：确诊病例和无症状感染者、疑似病例、密切接触者和次密切接触者（密切接触者的密切接触者）、集中隔离人员、居家隔离人员、外省健康码红码人员等人群，其“粤康码”为红色，可进一步查看标识为红码的原因及解除红码的指引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黄码：入境人员（含从我省和外省入境）集中隔离或居家隔离满14天未满21天的人员、外省健康码黄码人员等人群，其“粤康码”为黄色，可进一步查看标识为黄码的原因及解除黄码的指引。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绿码：非防疫重点人群。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2．老年人、未成年人等使用“粤康码”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“粤康码”提供管理家庭成员、代为出示粤康码、保存粤康码以便打印出示等功能，方便老年人、未成年人及智能手机操作困难人员使用“粤康码”。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5295900" cy="2705100"/>
            <wp:effectExtent l="19050" t="0" r="0" b="0"/>
            <wp:docPr id="14" name="图片 14" descr="http://www.lianjiang.gov.cn/zjljxzfw/img/0/106/106910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http://www.lianjiang.gov.cn/zjljxzfw/img/0/106/106910/1422295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图2-9 同行人代家庭成员出示粤康码界面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4410075" cy="4819650"/>
            <wp:effectExtent l="19050" t="0" r="9525" b="0"/>
            <wp:docPr id="9" name="图片 9" descr="http://www.lianjiang.gov.cn/zjljxzfw/img/0/106/106913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http://www.lianjiang.gov.cn/zjljxzfw/img/0/106/106913/1422295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481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adjustRightInd w:val="0"/>
        <w:snapToGrid w:val="0"/>
        <w:spacing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图2-10 粤康码家庭成员管理界面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5143500" cy="3562350"/>
            <wp:effectExtent l="19050" t="0" r="0" b="0"/>
            <wp:docPr id="10" name="图片 10" descr="http://www.lianjiang.gov.cn/zjljxzfw/img/0/106/106912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ttp://www.lianjiang.gov.cn/zjljxzfw/img/0/106/106912/1422295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图2-11离线保存粤康码界面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使用步骤如下。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（1）代家庭成员生成粤康码。已登录粤省事“粤康码”的监护人通过粤康码“添加家庭成员”功能，为同行老年人、未成年人等输入成员身份，以及姓名、证件类型、证件号码，经身份认证（刷脸实人认证或证件一致性认证）通过后生成其“粤康码”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（2）同行人代为出示粤康码。如需代为出示“粤康码”，请点击监护人姓名右侧三角形下拉箭头，切换至对应人员姓名。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（3）离线保存粤康码。点击“保存到相册”或“预览图片（长按图片发送到微信）”，将家庭成员“粤康码”保存至手机相册（离线保存的粤康码为黑色），后续可打印在纸张上（下称实体粤康码）以便于老年人、未成年人等不便使用智能手机的人员出行时随身携带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（4）使用实体粤康码扫码通行。在需扫码通行的公共场所，场所检测员扫描老年人、未成年人等人员出示的“实体粤康码”并录入体温测量结果，也可以点击“查看健康信息”进一步了解用户的健康信息情况。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3．查看本人健康信息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点击“我的粤康码信息”，可查看本人核酸检测、血清特异性IgG抗体检测记录、持有健康证明情况、健康申报记录、亮码记录、新冠疫苗接种记录、入境情况记录、解除医学观察电子告知书、体温检测记录、豁免人员核酸检测结果证明、入粤登记历史记录等健康信息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核酸检测记录查询：在“我的粤康码信息—核酸检测记录—查看更多”即可查看本人核酸检测记录。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入境情况记录：在“我的粤康码信息—入境情况记录”即可展现用户入境情况记录，包括入境国家、证件号码、入境日期、入境口岸和交通工具，方便用户在线查询和出示检查。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4．行程卡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点击粤康码下方“行程卡”，填写手机号以及验证码等信息，即可获得“通信大数据行程卡”，可查看用户于前14天内到达或途经的城市。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5．健康申报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点击粤康码“健康申报”页面即可进入自主申报页面，目前支持企业单位员工健康申报、组织机构成员健康申报、学生/教职工个人健康申报/个人自查申报功能，健康申报数据可在“我的粤康码信息”内“健康申报记录”查看。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5429250" cy="2790825"/>
            <wp:effectExtent l="19050" t="0" r="0" b="0"/>
            <wp:docPr id="11" name="图片 11" descr="http://www.lianjiang.gov.cn/zjljxzfw/img/0/106/106916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ttp://www.lianjiang.gov.cn/zjljxzfw/img/0/106/106916/1422295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图2-12 健康申报界面</w:t>
      </w:r>
    </w:p>
    <w:p>
      <w:pPr>
        <w:widowControl/>
        <w:shd w:val="clear" w:color="auto" w:fill="FFFFFF"/>
        <w:wordWrap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6．通关凭证</w:t>
      </w:r>
    </w:p>
    <w:p>
      <w:pPr>
        <w:widowControl/>
        <w:shd w:val="clear" w:color="auto" w:fill="FFFFFF"/>
        <w:wordWrap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需经粤澳口岸出入境的人员，应提前通过“粤康码”的“粤港澳通关”功能，根据出入境方向选择“广东→澳门”或“澳门→广东”，按提示申报健康情况、核对个人信息后，获取粤康码通关凭证，凭粤康码通关凭证通关。　　</w:t>
      </w: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5638800" cy="4200525"/>
            <wp:effectExtent l="19050" t="0" r="0" b="0"/>
            <wp:docPr id="12" name="图片 12" descr="http://www.lianjiang.gov.cn/zjljxzfw/img/0/106/106915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ttp://www.lianjiang.gov.cn/zjljxzfw/img/0/106/106915/1422295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图2-13 粤康码通关凭证（粤澳通关）</w:t>
      </w:r>
    </w:p>
    <w:p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符合“回港易”计划的香港居民应在抵达指定口岸前，应提前通过“粤康码”的“粤港澳通关”功能，选择“广东→香港”，按提示完成健康申报后，获取粤康码通关凭证，选择“入香港健康申报表”，转码生成香港健康申报表绿码通关。</w:t>
      </w:r>
    </w:p>
    <w:p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hAnsi="微软雅黑" w:eastAsia="微软雅黑" w:cs="宋体"/>
          <w:color w:val="424242"/>
          <w:kern w:val="0"/>
          <w:sz w:val="27"/>
          <w:szCs w:val="27"/>
        </w:rPr>
      </w:pPr>
      <w:r>
        <w:rPr>
          <w:rFonts w:ascii="微软雅黑" w:hAnsi="微软雅黑" w:eastAsia="微软雅黑" w:cs="宋体"/>
          <w:color w:val="424242"/>
          <w:kern w:val="0"/>
          <w:sz w:val="27"/>
          <w:szCs w:val="27"/>
        </w:rPr>
        <w:drawing>
          <wp:inline distT="0" distB="0" distL="0" distR="0">
            <wp:extent cx="5400675" cy="7181850"/>
            <wp:effectExtent l="19050" t="0" r="9525" b="0"/>
            <wp:docPr id="1" name="图片 1" descr="http://www.lianjiang.gov.cn/zjljxzfw/img/0/106/106917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www.lianjiang.gov.cn/zjljxzfw/img/0/106/106917/1422295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18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wordWrap w:val="0"/>
        <w:spacing w:after="150" w:line="360" w:lineRule="atLeast"/>
        <w:jc w:val="left"/>
        <w:rPr>
          <w:rFonts w:ascii="仿宋_GB2312" w:hAnsi="华文仿宋" w:eastAsia="仿宋_GB2312"/>
          <w:sz w:val="32"/>
          <w:szCs w:val="32"/>
        </w:rPr>
      </w:pPr>
      <w:r>
        <w:rPr>
          <w:rFonts w:hint="eastAsia" w:ascii="微软雅黑" w:hAnsi="微软雅黑" w:eastAsia="微软雅黑" w:cs="宋体"/>
          <w:color w:val="424242"/>
          <w:kern w:val="0"/>
          <w:sz w:val="27"/>
          <w:szCs w:val="27"/>
        </w:rPr>
        <w:t>　　图2-14 粤康码通关凭证（回港易计划）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12</w:t>
    </w:r>
    <w:r>
      <w:rPr>
        <w:lang w:val="zh-CN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5D6"/>
    <w:rsid w:val="00001F59"/>
    <w:rsid w:val="00004684"/>
    <w:rsid w:val="00013ACF"/>
    <w:rsid w:val="00025E88"/>
    <w:rsid w:val="00064A37"/>
    <w:rsid w:val="00071DD5"/>
    <w:rsid w:val="000772BA"/>
    <w:rsid w:val="00091228"/>
    <w:rsid w:val="00095C84"/>
    <w:rsid w:val="000E56A7"/>
    <w:rsid w:val="000F1574"/>
    <w:rsid w:val="00102FB5"/>
    <w:rsid w:val="00124BBF"/>
    <w:rsid w:val="00127039"/>
    <w:rsid w:val="00131C3A"/>
    <w:rsid w:val="00142D95"/>
    <w:rsid w:val="001433FA"/>
    <w:rsid w:val="00143C48"/>
    <w:rsid w:val="00174DB9"/>
    <w:rsid w:val="0017574D"/>
    <w:rsid w:val="001A2E47"/>
    <w:rsid w:val="001B19AB"/>
    <w:rsid w:val="001B652D"/>
    <w:rsid w:val="001C1DC9"/>
    <w:rsid w:val="001C4597"/>
    <w:rsid w:val="002155BE"/>
    <w:rsid w:val="002169F1"/>
    <w:rsid w:val="002342A9"/>
    <w:rsid w:val="002376A6"/>
    <w:rsid w:val="0026244A"/>
    <w:rsid w:val="002632BD"/>
    <w:rsid w:val="00265F2E"/>
    <w:rsid w:val="00271920"/>
    <w:rsid w:val="00285140"/>
    <w:rsid w:val="002A6165"/>
    <w:rsid w:val="002C44D8"/>
    <w:rsid w:val="00303312"/>
    <w:rsid w:val="0031559D"/>
    <w:rsid w:val="0032447B"/>
    <w:rsid w:val="00347D91"/>
    <w:rsid w:val="00350071"/>
    <w:rsid w:val="00364173"/>
    <w:rsid w:val="003A6641"/>
    <w:rsid w:val="003A6839"/>
    <w:rsid w:val="003D3793"/>
    <w:rsid w:val="003D64B8"/>
    <w:rsid w:val="003D6803"/>
    <w:rsid w:val="003E006F"/>
    <w:rsid w:val="004047D0"/>
    <w:rsid w:val="00426D77"/>
    <w:rsid w:val="00444869"/>
    <w:rsid w:val="00454123"/>
    <w:rsid w:val="004579C4"/>
    <w:rsid w:val="004662F1"/>
    <w:rsid w:val="00482705"/>
    <w:rsid w:val="004931AC"/>
    <w:rsid w:val="004B0DC4"/>
    <w:rsid w:val="004B3988"/>
    <w:rsid w:val="004C09BB"/>
    <w:rsid w:val="004C0DF2"/>
    <w:rsid w:val="004D0B59"/>
    <w:rsid w:val="004D11D2"/>
    <w:rsid w:val="004D79C1"/>
    <w:rsid w:val="0050226D"/>
    <w:rsid w:val="00505210"/>
    <w:rsid w:val="00530D53"/>
    <w:rsid w:val="00536390"/>
    <w:rsid w:val="00545837"/>
    <w:rsid w:val="005540E5"/>
    <w:rsid w:val="00563A6C"/>
    <w:rsid w:val="00565FE6"/>
    <w:rsid w:val="00584150"/>
    <w:rsid w:val="005B36F0"/>
    <w:rsid w:val="005C08FF"/>
    <w:rsid w:val="005F0090"/>
    <w:rsid w:val="00615249"/>
    <w:rsid w:val="00621CB0"/>
    <w:rsid w:val="0062356D"/>
    <w:rsid w:val="006733C3"/>
    <w:rsid w:val="006761EE"/>
    <w:rsid w:val="00682845"/>
    <w:rsid w:val="006B1FC6"/>
    <w:rsid w:val="006B708A"/>
    <w:rsid w:val="006C6810"/>
    <w:rsid w:val="006D2B29"/>
    <w:rsid w:val="007060EC"/>
    <w:rsid w:val="00726A67"/>
    <w:rsid w:val="00747949"/>
    <w:rsid w:val="007A3F33"/>
    <w:rsid w:val="007B635D"/>
    <w:rsid w:val="007C5FC1"/>
    <w:rsid w:val="007E6E2F"/>
    <w:rsid w:val="007F4E3F"/>
    <w:rsid w:val="0081716B"/>
    <w:rsid w:val="0082427A"/>
    <w:rsid w:val="0085526A"/>
    <w:rsid w:val="008566C9"/>
    <w:rsid w:val="00870CD8"/>
    <w:rsid w:val="00877827"/>
    <w:rsid w:val="008911AE"/>
    <w:rsid w:val="008E5D9D"/>
    <w:rsid w:val="008F1318"/>
    <w:rsid w:val="00904FD3"/>
    <w:rsid w:val="0094382A"/>
    <w:rsid w:val="00955391"/>
    <w:rsid w:val="00956829"/>
    <w:rsid w:val="00976CCE"/>
    <w:rsid w:val="00984275"/>
    <w:rsid w:val="00996791"/>
    <w:rsid w:val="009A31C7"/>
    <w:rsid w:val="009A3DD0"/>
    <w:rsid w:val="009B2DF0"/>
    <w:rsid w:val="00A122F9"/>
    <w:rsid w:val="00A13F7D"/>
    <w:rsid w:val="00A23D4B"/>
    <w:rsid w:val="00A43A95"/>
    <w:rsid w:val="00A464AD"/>
    <w:rsid w:val="00A470DC"/>
    <w:rsid w:val="00A50188"/>
    <w:rsid w:val="00A73E58"/>
    <w:rsid w:val="00AA131F"/>
    <w:rsid w:val="00AA137F"/>
    <w:rsid w:val="00AC051A"/>
    <w:rsid w:val="00AD3E4B"/>
    <w:rsid w:val="00AD7715"/>
    <w:rsid w:val="00AE3405"/>
    <w:rsid w:val="00AF0F02"/>
    <w:rsid w:val="00B17D5F"/>
    <w:rsid w:val="00B419E3"/>
    <w:rsid w:val="00B6766D"/>
    <w:rsid w:val="00B7019C"/>
    <w:rsid w:val="00B73D22"/>
    <w:rsid w:val="00B872C9"/>
    <w:rsid w:val="00BA5C88"/>
    <w:rsid w:val="00C4533E"/>
    <w:rsid w:val="00C563CF"/>
    <w:rsid w:val="00C80815"/>
    <w:rsid w:val="00C86854"/>
    <w:rsid w:val="00C91AD0"/>
    <w:rsid w:val="00C947EC"/>
    <w:rsid w:val="00C96142"/>
    <w:rsid w:val="00C97BD5"/>
    <w:rsid w:val="00CB5EF9"/>
    <w:rsid w:val="00CB6363"/>
    <w:rsid w:val="00CC0CD5"/>
    <w:rsid w:val="00CC36A3"/>
    <w:rsid w:val="00CD16CA"/>
    <w:rsid w:val="00CD61C1"/>
    <w:rsid w:val="00CE2FC8"/>
    <w:rsid w:val="00CE3761"/>
    <w:rsid w:val="00D21B08"/>
    <w:rsid w:val="00D300CC"/>
    <w:rsid w:val="00D32293"/>
    <w:rsid w:val="00D35057"/>
    <w:rsid w:val="00D7286E"/>
    <w:rsid w:val="00D91BB6"/>
    <w:rsid w:val="00D94B0E"/>
    <w:rsid w:val="00DA5A89"/>
    <w:rsid w:val="00DA5BE6"/>
    <w:rsid w:val="00DD7016"/>
    <w:rsid w:val="00E021DE"/>
    <w:rsid w:val="00E17174"/>
    <w:rsid w:val="00E61B68"/>
    <w:rsid w:val="00E72065"/>
    <w:rsid w:val="00E72A9A"/>
    <w:rsid w:val="00E84030"/>
    <w:rsid w:val="00E94E17"/>
    <w:rsid w:val="00EA3E9E"/>
    <w:rsid w:val="00EA55D6"/>
    <w:rsid w:val="00EA5854"/>
    <w:rsid w:val="00EA7571"/>
    <w:rsid w:val="00EE37B9"/>
    <w:rsid w:val="00EE3CDD"/>
    <w:rsid w:val="00F204C5"/>
    <w:rsid w:val="00F62BD7"/>
    <w:rsid w:val="00F744CD"/>
    <w:rsid w:val="00F94110"/>
    <w:rsid w:val="00FA2E5F"/>
    <w:rsid w:val="00FB4682"/>
    <w:rsid w:val="00FE5C84"/>
    <w:rsid w:val="77AF7C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9"/>
    <w:qFormat/>
    <w:uiPriority w:val="0"/>
    <w:pPr>
      <w:spacing w:line="400" w:lineRule="exact"/>
    </w:pPr>
    <w:rPr>
      <w:rFonts w:ascii="仿宋_GB2312" w:hAnsi="Calibri" w:eastAsia="仿宋_GB2312" w:cs="黑体"/>
      <w:sz w:val="24"/>
      <w:szCs w:val="20"/>
    </w:rPr>
  </w:style>
  <w:style w:type="paragraph" w:styleId="3">
    <w:name w:val="Title"/>
    <w:basedOn w:val="1"/>
    <w:next w:val="1"/>
    <w:link w:val="2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2"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9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basedOn w:val="12"/>
    <w:uiPriority w:val="0"/>
  </w:style>
  <w:style w:type="character" w:styleId="15">
    <w:name w:val="FollowedHyperlink"/>
    <w:basedOn w:val="12"/>
    <w:semiHidden/>
    <w:unhideWhenUsed/>
    <w:uiPriority w:val="99"/>
    <w:rPr>
      <w:color w:val="800080" w:themeColor="followedHyperlink"/>
      <w:u w:val="single"/>
    </w:rPr>
  </w:style>
  <w:style w:type="character" w:styleId="16">
    <w:name w:val="Hyperlink"/>
    <w:basedOn w:val="12"/>
    <w:qFormat/>
    <w:uiPriority w:val="99"/>
    <w:rPr>
      <w:color w:val="0000FF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9">
    <w:name w:val="正文文本 Char"/>
    <w:basedOn w:val="12"/>
    <w:link w:val="2"/>
    <w:qFormat/>
    <w:uiPriority w:val="0"/>
    <w:rPr>
      <w:rFonts w:ascii="仿宋_GB2312" w:hAnsi="Calibri" w:eastAsia="仿宋_GB2312" w:cs="黑体"/>
      <w:kern w:val="2"/>
      <w:sz w:val="24"/>
    </w:rPr>
  </w:style>
  <w:style w:type="paragraph" w:customStyle="1" w:styleId="20">
    <w:name w:val="_Style 3"/>
    <w:basedOn w:val="1"/>
    <w:next w:val="8"/>
    <w:qFormat/>
    <w:uiPriority w:val="0"/>
    <w:rPr>
      <w:rFonts w:ascii="Calibri" w:hAnsi="Calibri" w:cs="黑体"/>
      <w:szCs w:val="22"/>
    </w:rPr>
  </w:style>
  <w:style w:type="character" w:customStyle="1" w:styleId="21">
    <w:name w:val="标题 Char"/>
    <w:basedOn w:val="12"/>
    <w:link w:val="3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2">
    <w:name w:val="正文文本缩进 3 Char"/>
    <w:basedOn w:val="12"/>
    <w:link w:val="8"/>
    <w:semiHidden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jyjrsg</Company>
  <Pages>12</Pages>
  <Words>332</Words>
  <Characters>1894</Characters>
  <Lines>15</Lines>
  <Paragraphs>4</Paragraphs>
  <TotalTime>1</TotalTime>
  <ScaleCrop>false</ScaleCrop>
  <LinksUpToDate>false</LinksUpToDate>
  <CharactersWithSpaces>2222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2021-10-25T01:22:00Z</dcterms:created>
  <dc:creator>Anonymous</dc:creator>
  <cp:lastModifiedBy>Administrator</cp:lastModifiedBy>
  <cp:lastPrinted>2021-09-23T08:14:00Z</cp:lastPrinted>
  <dcterms:modified xsi:type="dcterms:W3CDTF">2021-10-27T09:13:42Z</dcterms:modified>
  <dc:title>连平县2011年公开招聘中小学教师工作方案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EF7EAE0865494DD58096F99FF189A586</vt:lpwstr>
  </property>
</Properties>
</file>