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6"/>
        <w:gridCol w:w="1262"/>
        <w:gridCol w:w="1938"/>
        <w:gridCol w:w="616"/>
        <w:gridCol w:w="3215"/>
        <w:gridCol w:w="2253"/>
      </w:tblGrid>
      <w:tr w:rsidR="001C7E0C" w:rsidRPr="001C7E0C" w:rsidTr="001C7E0C">
        <w:tc>
          <w:tcPr>
            <w:tcW w:w="585" w:type="dxa"/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序号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院部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专业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人数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要求条件(学历、学位、职称等)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备注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1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计算机工程学院 （29人）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物联网工程、计算机、自动化、信息与通信工程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4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硕士研究生及以上学历学位，或副教授、教授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2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嵌入式系统、电子与信息工程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3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硕士研究生及以上学历学位，或副教授、教授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3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控制科学与工程、人工智能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4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硕士研究生及以上学历学位，或副教授、教授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4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数据科学与大数据技术、信息与计算科学、智能科学与技术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5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硕士研究生及以上学历学位，或副教授、教授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5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计算机科学与技术、软件工程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5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硕士研究生及以上学历学位，或副教授、教授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6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动画设计、数字媒体技术、虚拟现实技术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4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硕士研究生及以上学历学位，或副教授、教授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7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信息安全、网络空间安全、密码学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4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硕士研究生及以上学历学位，或副教授、教授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8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智能制造学院 （19人)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机械设计制造及其自动化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5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9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工业设计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1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副教授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10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机械电子工程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4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主招电类、自动控制类、工业机器人技术类教师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11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车辆工程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2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12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新能源汽车工程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2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动力电池、直流驱动电机、电子控制类等相关专业均可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13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智能制造工程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5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智能制造相关专业均可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14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电子电气工程学院(8人）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电子类专业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2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或讲师及以上职称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15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通信及相近专业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1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或讲师及以上职称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16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自动化及相近专业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2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或讲师及以上职称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17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电气及相近专业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3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或讲师及以上职称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18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城市建设学院 （9人）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土木工程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4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土木工程专业，中级职称或硕士研究生以上学历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19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工程造价、工程管理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4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工程管理、工程造价专业，中级职称或硕士研究生以上学历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20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实验室主任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1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中级以上职称，具有土建学科相关实验室管理经验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lastRenderedPageBreak/>
              <w:t>21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影视传媒学院 （4人）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播音与主持艺术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2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硕士研究生，第一学历为全日制本科播音与主持艺术专业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22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表演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1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硕士研究生，第一学历为全日制本科表演专业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23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舞蹈表演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1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硕士研究生，第一学历为全日制本科舞蹈专业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24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商贸学院 （3人）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商务英语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1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教授（研究领域与商务英语相关）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学科带头人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25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电子商务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2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本科需为电子商务专业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26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会计学院 （2人）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会计学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2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硕士研究生及以上学历学位(教授或博士优先)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27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马克思主义学院 （2人）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马克思主义理论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1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硕士研究生及以上学历学位或副教授及以上职称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中共党员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28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中国党史或历史学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1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硕士研究生及以上学历学位或副教授及以上职称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中共党员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29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大学外语教学部 （2人）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英语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2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副教授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30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通识教育学院 （2人）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应用数学，计算数学，统计学专业等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2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  <w:tr w:rsidR="001C7E0C" w:rsidRPr="001C7E0C" w:rsidTr="001C7E0C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b/>
                <w:bCs/>
                <w:color w:val="656565"/>
                <w:kern w:val="0"/>
                <w:sz w:val="22"/>
              </w:rPr>
              <w:t>31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理论物理,应用物理等物理学相关专业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2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  <w:r w:rsidRPr="001C7E0C">
              <w:rPr>
                <w:rFonts w:ascii="宋体" w:eastAsia="宋体" w:hAnsi="宋体" w:cs="宋体" w:hint="eastAsia"/>
                <w:color w:val="656565"/>
                <w:kern w:val="0"/>
                <w:sz w:val="22"/>
              </w:rPr>
              <w:t>硕士研究生及以上学历学位</w:t>
            </w:r>
            <w:r w:rsidRPr="001C7E0C"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E0C" w:rsidRPr="001C7E0C" w:rsidRDefault="001C7E0C" w:rsidP="001C7E0C">
            <w:pPr>
              <w:widowControl/>
              <w:jc w:val="left"/>
              <w:rPr>
                <w:rFonts w:ascii="宋体" w:eastAsia="宋体" w:hAnsi="宋体" w:cs="宋体"/>
                <w:color w:val="656565"/>
                <w:kern w:val="0"/>
                <w:sz w:val="24"/>
                <w:szCs w:val="24"/>
              </w:rPr>
            </w:pPr>
          </w:p>
        </w:tc>
      </w:tr>
    </w:tbl>
    <w:p w:rsidR="00E55392" w:rsidRDefault="001C7E0C">
      <w:r w:rsidRPr="001C7E0C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备注：研究生学制须两年及以上。</w:t>
      </w:r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5DF"/>
    <w:rsid w:val="001C7E0C"/>
    <w:rsid w:val="004870D5"/>
    <w:rsid w:val="00977B11"/>
    <w:rsid w:val="00E55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2B8130-E1A2-4BFE-A3A0-B5A66BAF4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231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8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152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908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01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2021-12-30T01:40:00Z</dcterms:created>
  <dcterms:modified xsi:type="dcterms:W3CDTF">2021-12-30T01:40:00Z</dcterms:modified>
</cp:coreProperties>
</file>