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0"/>
        <w:gridCol w:w="1486"/>
        <w:gridCol w:w="2200"/>
        <w:gridCol w:w="1169"/>
        <w:gridCol w:w="557"/>
        <w:gridCol w:w="2677"/>
      </w:tblGrid>
      <w:tr w:rsidR="00AC57F8" w:rsidRPr="00AC57F8" w:rsidTr="00AC57F8">
        <w:trPr>
          <w:trHeight w:val="643"/>
        </w:trPr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需求</w:t>
            </w:r>
          </w:p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学历需求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需求人数</w:t>
            </w:r>
          </w:p>
        </w:tc>
        <w:tc>
          <w:tcPr>
            <w:tcW w:w="20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引进具体条件</w:t>
            </w:r>
          </w:p>
        </w:tc>
      </w:tr>
      <w:tr w:rsidR="00AC57F8" w:rsidRPr="00AC57F8" w:rsidTr="00AC57F8">
        <w:trPr>
          <w:trHeight w:val="643"/>
        </w:trPr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临床医学院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康复医学教研室教师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康复治疗学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本科为康复医学或康复治疗学专业</w:t>
            </w:r>
          </w:p>
        </w:tc>
      </w:tr>
      <w:tr w:rsidR="00AC57F8" w:rsidRPr="00AC57F8" w:rsidTr="00AC57F8">
        <w:trPr>
          <w:trHeight w:val="643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药学院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药理教研室教师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药理学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本科专业为药学/临床医学,研究生专业为药理学或临床医学，研究生期间研究为药理学方向，(有药理学教学经验或副教授以上职称者优先考虑)。</w:t>
            </w: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药学教研室教师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药学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博士研究生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本科专业为药学或药物制剂专业，研究方向为药剂学、药物化学、药物分析等与药学相关方向。</w:t>
            </w: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药学教研室教师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药学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本科专业为药学或药物制剂专业，研究生为药剂学。</w:t>
            </w: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药学教研室教师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药学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本科专业为药学或药物制剂专业，研究生为药剂学.</w:t>
            </w: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中药学教研室教师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中药学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本科、研究生均为中药学专业。</w:t>
            </w: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化妆品专业教师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化妆品技术与工程、化妆品科学与技术或精细化工（化妆品方向）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本科、研究生为化妆品相关专业或精细化工专业（化妆品方向）。</w:t>
            </w:r>
          </w:p>
        </w:tc>
      </w:tr>
      <w:tr w:rsidR="00AC57F8" w:rsidRPr="00AC57F8" w:rsidTr="00AC57F8">
        <w:trPr>
          <w:trHeight w:val="643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口腔医学院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口腔基础教研室教师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口腔基础医学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本科为口腔医学专业</w:t>
            </w: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口腔正畸教研室教师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口腔临床医学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</w:t>
            </w: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lastRenderedPageBreak/>
              <w:t>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本科为口腔医学专业</w:t>
            </w: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教学干事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医学及医学相关专业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ind w:firstLine="369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Calibri" w:eastAsia="方正仿宋_GB2312" w:hAnsi="Calibri" w:cs="Calibri"/>
                <w:color w:val="000000"/>
                <w:kern w:val="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AC57F8" w:rsidRPr="00AC57F8" w:rsidTr="00AC57F8">
        <w:trPr>
          <w:trHeight w:val="643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医学影像学院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医学影像诊断教师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影像医学与核医学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放射医学教师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生物医学工程专业教师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ind w:firstLine="369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Calibri" w:eastAsia="方正仿宋_GB2312" w:hAnsi="Calibri" w:cs="Calibri"/>
                <w:color w:val="000000"/>
                <w:kern w:val="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医学影像技术专业教师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ind w:firstLine="369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Calibri" w:eastAsia="方正仿宋_GB2312" w:hAnsi="Calibri" w:cs="Calibri"/>
                <w:color w:val="000000"/>
                <w:kern w:val="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AC57F8" w:rsidRPr="00AC57F8" w:rsidTr="00AC57F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医学影像教师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硕士研究生及以上学历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AC57F8" w:rsidRPr="00AC57F8" w:rsidTr="00AC57F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医学影像学院物理教师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物理学类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硕士研究生及以上学历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AC57F8" w:rsidRPr="00AC57F8" w:rsidTr="00AC57F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医学影像学院实验员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医学技术类、计算机类、电子信息类或物理学类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原则上要求硕士研究生，特别优秀者可放宽学历学位要求</w:t>
            </w:r>
          </w:p>
        </w:tc>
      </w:tr>
      <w:tr w:rsidR="00AC57F8" w:rsidRPr="00AC57F8" w:rsidTr="00AC57F8">
        <w:trPr>
          <w:trHeight w:val="989"/>
        </w:trPr>
        <w:tc>
          <w:tcPr>
            <w:tcW w:w="19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公共卫生与检验学院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方正仿宋_GB2312" w:eastAsia="方正仿宋_GB2312" w:hAnsi="Calibri" w:cs="Times New Roman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卫生检验教研室教师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卫生检验与检疫、临床检验诊断学、医学检验技术或病原生物学、免疫学</w:t>
            </w:r>
          </w:p>
        </w:tc>
        <w:tc>
          <w:tcPr>
            <w:tcW w:w="18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0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AC57F8">
              <w:rPr>
                <w:rFonts w:ascii="方正仿宋_GB2312" w:eastAsia="方正仿宋_GB2312" w:hAnsi="Calibri" w:cs="Times New Roman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研究生为卫生检验与检疫专业则不限定本科专业；研究生为临床检验诊断学、医学检验技术或病原生物学、免疫学限定本科专业为本科卫生检验与检疫或医学检验技术，必须具备理化检验教学及科研能力</w:t>
            </w:r>
          </w:p>
        </w:tc>
      </w:tr>
      <w:tr w:rsidR="00AC57F8" w:rsidRPr="00AC57F8" w:rsidTr="00AC57F8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预防医学教研室教师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劳动卫生与环境卫生学、儿少卫生与妇幼保健学</w:t>
            </w:r>
          </w:p>
        </w:tc>
        <w:tc>
          <w:tcPr>
            <w:tcW w:w="18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本科为预防医学</w:t>
            </w:r>
          </w:p>
        </w:tc>
      </w:tr>
      <w:tr w:rsidR="00AC57F8" w:rsidRPr="00AC57F8" w:rsidTr="00AC57F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流行病与卫生统计学教研室教师</w:t>
            </w:r>
          </w:p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流行病与卫生统计学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硕士研究生及以上学历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本科为预防医学</w:t>
            </w:r>
          </w:p>
        </w:tc>
      </w:tr>
      <w:tr w:rsidR="00AC57F8" w:rsidRPr="00AC57F8" w:rsidTr="00AC57F8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健康服务与管理教研室教师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健康管理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硕士研究生及以上学历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AC57F8" w:rsidRPr="00AC57F8" w:rsidTr="00AC57F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健康服务与管理教研室教师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社会医学与卫生事业管理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硕士研究生及以上学历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AC57F8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</w:p>
        </w:tc>
      </w:tr>
      <w:tr w:rsidR="00AC57F8" w:rsidRPr="00AC57F8" w:rsidTr="00AC57F8">
        <w:trPr>
          <w:trHeight w:val="643"/>
        </w:trPr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lastRenderedPageBreak/>
              <w:t>基础医学教学部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病理和病理生理学教研室教师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病理学与病理生理学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硕士研究生及以上学历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57F8" w:rsidRPr="00AC57F8" w:rsidRDefault="00AC57F8" w:rsidP="00AC57F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AC57F8">
              <w:rPr>
                <w:rFonts w:ascii="方正仿宋_GB2312" w:eastAsia="方正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本科为临床医学专业，特别优秀者可放宽本科专业要求</w:t>
            </w:r>
          </w:p>
        </w:tc>
      </w:tr>
    </w:tbl>
    <w:p w:rsidR="00E55392" w:rsidRDefault="00AC57F8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E95"/>
    <w:rsid w:val="002A4E95"/>
    <w:rsid w:val="004870D5"/>
    <w:rsid w:val="00977B11"/>
    <w:rsid w:val="00AC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89C215-A637-4B97-AC54-6615E749B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C57F8"/>
    <w:rPr>
      <w:b/>
      <w:bCs/>
    </w:rPr>
  </w:style>
  <w:style w:type="paragraph" w:customStyle="1" w:styleId="23">
    <w:name w:val="23"/>
    <w:basedOn w:val="a"/>
    <w:rsid w:val="00AC57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AC57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89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2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80401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9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66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941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863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256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5865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2021-12-30T02:44:00Z</dcterms:created>
  <dcterms:modified xsi:type="dcterms:W3CDTF">2021-12-30T02:44:00Z</dcterms:modified>
</cp:coreProperties>
</file>