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瓮安县中等职业学校2022年编外教师招聘职位计划表</w:t>
      </w:r>
    </w:p>
    <w:tbl>
      <w:tblPr>
        <w:tblW w:w="1069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3"/>
        <w:gridCol w:w="1121"/>
        <w:gridCol w:w="610"/>
        <w:gridCol w:w="1121"/>
        <w:gridCol w:w="3248"/>
        <w:gridCol w:w="3632"/>
        <w:gridCol w:w="6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招聘职位名称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其他报考条件及说明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数学与应用数学、数学、数学教育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具有高中或中职学校教师资格证优先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具有高中或中职学校教师资格证优先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物理学、应用物理学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具有高中或中职学校教师资格证优先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思想政治教育、政治学与行政学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具有高中或中职学校教师资格证优先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生物技术、生物科学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具有高中或中职学校教师资格证优先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动漫设计与制作、动画、视觉传达设计、电脑艺术设计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具有相应专业职业资格证书者优先，有实际工作经验者优先。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专业学科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汽车维修技术教师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全日制专科及以上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汽车检测与维修技术、新能源汽车工程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具有相应专业职业资格证书者优先，有实际工作经验者优先。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专业学科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化工专业教师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应用化学、化学工程与工艺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具有三年（含三年）以上相关企业工作经历。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专业学科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99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2022-03-07T02:42:56Z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752E48824A044B64B63B9B0B5C59ED96</vt:lpwstr>
  </property>
</Properties>
</file>