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9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438"/>
        <w:gridCol w:w="1573"/>
        <w:gridCol w:w="893"/>
        <w:gridCol w:w="1265"/>
        <w:gridCol w:w="1079"/>
        <w:gridCol w:w="216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岗位数量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学历层次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任职资格种类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高层次及短缺专业人才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语文、数学、外语、物理、化学、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生物、政治、历史、地理、体育、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音乐、教育技术、行政教辅、会计、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校医等相关岗位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45周岁以下（1977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年1月1日以后出生；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获得省学术带头人、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省优秀教育管理人才、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省名师等荣誉称号的，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年龄可适当放宽）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具有相应专业的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教师资格证或任职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资格证书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（1）具备从事教育教学工作所需的身体条件；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（2）45周岁以下（1977年1月1日以后出生；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获得省学术带头人、省优秀教育管理人才、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省名师等荣誉称号的，年龄可适当放宽）。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（3）省、市直属中小学在职在岗人员，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申报教师岗的须具有所报岗位的教师资格证或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任职资格证。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（4）报名时，需同时提供现工作单位同意报考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证明、工作业绩证明（须写明具体任教情况或在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职在岗情况）各1份。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64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2022-03-26T03:02:27Z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CD6239807F754214A9C4A01A3FAB4299</vt:lpwstr>
  </property>
</Properties>
</file>