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647"/>
        <w:gridCol w:w="1150"/>
        <w:gridCol w:w="1323"/>
        <w:gridCol w:w="2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计划招聘</w:t>
            </w:r>
          </w:p>
        </w:tc>
        <w:tc>
          <w:tcPr>
            <w:tcW w:w="64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11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年龄</w:t>
            </w:r>
            <w:bookmarkStart w:id="0" w:name="_GoBack"/>
            <w:bookmarkEnd w:id="0"/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26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7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5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35周岁及以下（1986年4月11日以后出生）</w:t>
            </w:r>
          </w:p>
        </w:tc>
        <w:tc>
          <w:tcPr>
            <w:tcW w:w="1323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教育基础知识、学科专业知识</w:t>
            </w: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1.汉语言学、小学教育（语文方向）及相关专业，并持有对应学科的教师资格证；2.大学本科及以上学历。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1.汉语言学、小学教育（语文方向）及相关专业，并持有对应学科的教师资格证；2.大学本科以上学历，并具有相应学位。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1.数学、数学教育、数学与应用数学、小学教育（数学方向）及相关专业，并持有对应学科的教师资格证；2.大学本科及以上学历。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1.数学、数学教育、数学与应用数学、小学教育（数学方向）及相关专业，并持有对应学科的教师资格证；2.大学本科以上学历，并具有相应学位。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1.英语、英语教育及相关专业，并持有对应学科的教师资格证；2.大学本科及以上学历，并具有相应学位。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1.生物、物理、化学及专业，并持有对应学科的教师资格证；2.大学本科及以上学历，并具有相应学位。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1.计算机科学技术、计算机应用（网络技术、信息工程、教育技术学及相关专业），并持有对应学科的教师资格证；2.大学本科及以上学历，并具有相应学位。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1.心理学、发展与教育心理学、应用心理学及相关专业，并持有对应学科的教师资格证；2.大学本科及以上学历，并具有相应学位。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1.美术、美术教育及相关专业，并持有对应学科的教师资格证；2.大学本科及以上学历，并具有相应学位。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1.音乐、音乐教育及相关专业并持有对应学科的教师资格证；2.大学本科及以上学历，并具有相应学位。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080" w:type="dxa"/>
            <w:vMerge w:val="restart"/>
            <w:tcBorders>
              <w:top w:val="single" w:color="333333" w:sz="8" w:space="0"/>
              <w:left w:val="single" w:color="000000" w:sz="4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restart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1.体育、体育教育、运动训练、民族传统体育及相关专业，并持有对应学科的教师资格证；2.大学本科及以上学历，并具有相应学位。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333333" w:sz="8" w:space="0"/>
              <w:left w:val="single" w:color="000000" w:sz="4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333333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vMerge w:val="continue"/>
            <w:tcBorders>
              <w:top w:val="single" w:color="333333" w:sz="8" w:space="0"/>
              <w:left w:val="single" w:color="333333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6D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2022-04-12T02:25:29Z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08629BBD20C94E3C85481B354414377D</vt:lpwstr>
  </property>
</Properties>
</file>