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招聘岗位和要求</w:t>
      </w: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8"/>
        <w:gridCol w:w="1161"/>
        <w:gridCol w:w="558"/>
        <w:gridCol w:w="624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Style w:val="5"/>
                <w:rFonts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Style w:val="5"/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Style w:val="5"/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招聘计划数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Style w:val="5"/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专业不限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学前教育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播音与主持艺术、舞蹈表演、舞蹈学、音乐表演、舞蹈编导、学前教育、艺术教育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计算机软件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软件工程、计算机软件、计算机科学与技术、仿真科学与技术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电子信息科学与技术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电子信息科学与技术、电子信息工程、电气工程与智能控制、电气工程及其自动化、电气工程与自动化、电气信息工程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电子商务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电子商务、网络经济学、网络与新媒体、新媒体与信息网络、媒体创意、新闻学、广告学、传播学、影视摄影与制作、摄影、数字电影技术、照明艺术、播音与主持艺术、数字媒体艺术、数字游戏设计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国际商务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国际经济与贸易、贸易经济、国际文化贸易、国际商务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建筑工程管理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土木工程、建筑工程教育、建筑电气与智能化、建筑设施智能技术、建筑环境与能源应用工程、建筑环境与设备工程、建筑节能技术与工程、建筑学、工程管理、项目管理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工程造价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工程管理、项目管理、房地产开发与管理、工程造价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经济统计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经济统计学、统计学、应用统计学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经济管理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经济学、商务经济学、经济与金融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金融工程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金融工程、金融学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法律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法学、知识产权、民法学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金属材料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金属材料工程、材料科学与工程、复合材料与工程、新能源材料与器件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通信工程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通信工程、电信工程与管理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物联网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物联网工程 、信息与通信工程、控制科学与工程（含控制工程）、计算机技术、软件工程、网络空间安全、计算机网络、电子与通信工程、集成电路设计与集成系统、智能科学与技术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工业互联网与大数据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物联网工程、 网络工程、计算机科学与技术、软件工程、应用电子技术教育、电子科学与技术、信息与通信工程、集成电路设计与集成系统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电气自动化（高职考方向）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电气工程及其自动化、电气工程与智能控制、自动化、 电子科学与技术、 机电技术教育、应用电子技术教育、电气工程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工业过程自动化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电气工程及其自动化、电气工程与智能控制、自动化、 电子科学与技术、集成电路设计与集成系统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机电一体化（人工智能方向）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机械电子工程、电气工程及其自动化、机电一体化、自动化过程装备与控制工程、智能科学与技术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工业机器人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电子工程（机器人方向）、电气工程与智能控制、机电技术教育、自动化、电气工程及其自动化、机械电子工程、光学工程、电气工程、集成电路设计与集成系统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工商管理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工商管理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会计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会计学、财务会计教育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市场营销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市场营销、市场营销教育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  <w:vertAlign w:val="baseline"/>
              </w:rPr>
              <w:t> 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一、持有中职或高中及以上教师资格证且在相应学校担任5年及以上班主任的在聘人员报考岗位1-6的，年龄放宽至40周岁。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二、曾担任5年及以上班主任或幼儿园中层及以上的在聘人员报考岗位7的，年龄放宽至40周岁。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both"/>
              <w:textAlignment w:val="baseline"/>
              <w:rPr>
                <w:sz w:val="19"/>
                <w:szCs w:val="19"/>
              </w:rPr>
            </w:pPr>
            <w:r>
              <w:rPr>
                <w:rFonts w:hint="default" w:ascii="font-size:12px;width:100%;" w:hAnsi="font-size:12px;width:100%;" w:eastAsia="font-size:12px;width:100%;" w:cs="font-size:12px;width:100%;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三、具有3年及以上相应专业技术岗位工作经历的在聘人员报考岗位8-28的，年龄放宽至40周岁。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2px;width:100%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DDD4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2022-06-29T07:06:43Z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D50F4F6462A24101B3A8D2C6EC7FE29C</vt:lpwstr>
  </property>
</Properties>
</file>