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ascii="微软雅黑" w:hAnsi="微软雅黑" w:eastAsia="微软雅黑" w:cs="微软雅黑"/>
          <w:i w:val="0"/>
          <w:iCs w:val="0"/>
          <w:caps w:val="0"/>
          <w:color w:val="333333"/>
          <w:spacing w:val="0"/>
          <w:sz w:val="21"/>
          <w:szCs w:val="21"/>
        </w:rPr>
      </w:pPr>
      <w:r>
        <w:rPr>
          <w:rStyle w:val="5"/>
          <w:rFonts w:ascii="微软雅黑" w:hAnsi="微软雅黑" w:eastAsia="微软雅黑" w:cs="微软雅黑"/>
          <w:i w:val="0"/>
          <w:iCs w:val="0"/>
          <w:caps w:val="0"/>
          <w:color w:val="333333"/>
          <w:spacing w:val="0"/>
          <w:sz w:val="21"/>
          <w:szCs w:val="21"/>
          <w:bdr w:val="none" w:color="auto" w:sz="0" w:space="0"/>
          <w:vertAlign w:val="baseline"/>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2022年盘山县职业教育中心文化课公开招聘教师计划表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条件说明：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普通高校本科及以上学历并取得学士及以上学位。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1.本科学历的考生需符合下表中所列本科的专业要求；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2.研究生学历的考生要求本科阶段所学专业必须符合下表中所列本科的专业要求。</w:t>
      </w:r>
    </w:p>
    <w:tbl>
      <w:tblPr>
        <w:tblW w:w="12433"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390"/>
        <w:gridCol w:w="1048"/>
        <w:gridCol w:w="727"/>
        <w:gridCol w:w="2903"/>
        <w:gridCol w:w="2903"/>
        <w:gridCol w:w="1871"/>
        <w:gridCol w:w="1542"/>
        <w:gridCol w:w="1049"/>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序号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招聘岗位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招聘人数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学历、学位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本科阶段专业要求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教师资格证</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笔试科目</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语文教师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本科及以上学历并取得学士及以上学位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中国语言文学类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高中及以上语文学科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高中语文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数学教师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数学类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高中及以上数学学科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高中数学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3</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英语教师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英语专业、商务英语专业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高中及以上英语学科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高中英语</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4</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物理教师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物理学类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高中及以上物理学科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高中物理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5</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政治教师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哲学类、马克思主义理论类、政治学类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高中及以上政治学科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高中政治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6</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地理教师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地理科学类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高中及以上地理学科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高中地理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7</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信息技术教师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计算机类或计算机科学与技术类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高中及以上信息技术学科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高中信息技术</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8</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体育教师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体育学类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高中及以上体育学科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高中体育</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合计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11E3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2022-07-01T03:03:25Z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29D6F02DFA1E429BAF0BAB2788C20185</vt:lpwstr>
  </property>
</Properties>
</file>