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方正小标宋简体" w:eastAsia="方正小标宋简体"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泉台管〔20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164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方正小标宋简体" w:eastAsia="方正小标宋简体"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方正小标宋简体" w:eastAsia="方正小标宋简体"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泉州台商投资区管理委员会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6"/>
          <w:kern w:val="0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6"/>
          <w:kern w:val="0"/>
          <w:sz w:val="44"/>
          <w:szCs w:val="44"/>
          <w:lang w:val="en-US" w:eastAsia="zh-CN"/>
        </w:rPr>
        <w:t>调整师范类高校硕士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/>
        </w:rPr>
        <w:t>研究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6"/>
          <w:kern w:val="0"/>
          <w:sz w:val="44"/>
          <w:szCs w:val="44"/>
          <w:lang w:val="en-US" w:eastAsia="zh-CN"/>
        </w:rPr>
        <w:t>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/>
        </w:rPr>
        <w:t>工作生活补助标准实施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/>
        </w:rPr>
        <w:t>教育人才安居工程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各乡镇人民政府，区直各部门，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为进一步加大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师范类高校硕士研究生的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引进力度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吸引教育人才向我区聚集，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让教育人才扎根台商区、服务台商区，经研究，决定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调整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kern w:val="0"/>
          <w:sz w:val="32"/>
          <w:szCs w:val="32"/>
          <w:lang w:val="en-US" w:eastAsia="zh-CN"/>
        </w:rPr>
        <w:t>师范类高校硕士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研究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kern w:val="0"/>
          <w:sz w:val="32"/>
          <w:szCs w:val="32"/>
          <w:lang w:val="en-US" w:eastAsia="zh-CN"/>
        </w:rPr>
        <w:t>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工作生活补助标准，实施教育人才安居工程，现将有关事项通知如下：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一、实施对象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本文件的实施对象为引进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六所教育部属院校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师范类和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首都师范大学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师范类毕业，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取得全日制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研究生学历、硕士以上学位，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年龄在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5周岁以下，采用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公开招聘、专项招聘等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方式聘用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的在编教师，以下简称教育人才。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二、调整工作生活补助发放年限及标准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对引进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教育人才，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经学校考核，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考核结果合格及以上等次者，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每月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发放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工作生活补助金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00元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发放3年，逐年考核逐年发放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三、实施教育人才安居工程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lang w:val="en-US" w:eastAsia="zh-CN"/>
        </w:rPr>
        <w:t>1.调整购房补助标准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将引进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教育人才购房补助标准调整为60万元，按比例分期分年度发放。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第一期，对引进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教育人才在泉州台商投资区购置商品房的，发放购房补助30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万元（分3次发放，其中第1年发放50%，15万元；第2年发放25%，7.5万元；第3年发放25%，7.5万元）；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第二期，服务期满5年后，增发购房补助30万元（分2次发放，第6年发放50%，15万元；第8年发放50%，15万元）。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40" w:lineRule="exact"/>
        <w:ind w:left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2.提供人才配套住房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政府提供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学校周边110-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0平方米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超出部分由教育人才按市场价购买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的人才配套房，给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引进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教育人才5年的使用权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（免予租金）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，服务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年后，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政府将人才配套房以毛坯房不超过5500元、精装房不超过7500元的价格，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过户给教育人才，并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shd w:val="clear" w:color="auto" w:fill="auto"/>
          <w:lang w:val="en-US" w:eastAsia="zh-CN" w:bidi="ar"/>
        </w:rPr>
        <w:t>办理产权变更登记，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产权归个人所有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夫妻双方均属引进的教育人才，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政府提供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学校周边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0平方米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超出部分由教育人才按市场价购买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的人才配套房，给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引进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教育人才5年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的使用权（免予租金），服务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auto"/>
        </w:rPr>
        <w:t>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auto"/>
        </w:rPr>
        <w:t>年后，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政府将人才配套房以毛坯房不超过5500元、精装房不超过7500元的价格，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shd w:val="clear" w:color="auto" w:fill="auto"/>
          <w:lang w:val="en-US" w:eastAsia="zh-CN" w:bidi="ar"/>
        </w:rPr>
        <w:t>过户给教育人才，并办理产权变更登记，产权归教育人才所有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auto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产权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shd w:val="clear" w:color="auto" w:fill="auto"/>
          <w:lang w:val="en-US" w:eastAsia="zh-CN" w:bidi="ar"/>
        </w:rPr>
        <w:t>过户产生的各项税费由教育人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才自行承担。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教育人才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购房补助和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人才配套住房仅可选择其中一项申领。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四、经费渠道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引进教育人才实施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安居工程所需经费从海丝教育基金支出、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工作生活补助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从区财政专项支出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五、其他事项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1.学校根据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教育教学工作要求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制定考核方案，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每年对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引进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教育人才进行考核，考核合格以上的，兑现工作生活补助款、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购房补助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款（不含第1年申领购房补助款），并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报区教育文体旅游局备案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申领人才配套住房的教育人才，须经学校连续5年考核合格后，方可申请产权过户。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2.申领购房补助的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教育人才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服务期不满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退还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已申领的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购房补助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服务期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满5年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不满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退还增发的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购房补助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申请人才配套住房的教育人才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服务期不满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退还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人才配套房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政府退回教育人才购房款。教育人才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退还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的人才配套房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原属于毛坯房，由教育人才自行装修的，装修款项按市场评估价由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海丝教育基金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出资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回购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教育人才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退还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的人才配套房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原属于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超出面积，按市场价购买的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，按市场评估价由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海丝教育基金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出资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回购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4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  <w:t>夫妻双方均属引进的教育人才，享受160平方米人才配套住房政策，如果夫妻其中一人违约，超出40平方米的人才配套住房，由配偶按照市场价补缴。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同时符合本区多项鼓励政策条款或性质相似条款的，按最高标准兑现，不重复享受。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5.引进教育人才在课题研究、论文发表、专著出版、组建工作室、进修学习等方面，学校或区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教育文体旅游局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将给予一定的资金支持，为其提升教学、教研和管理水平搭建平台、创造条件。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6.引进教育人才子女经申请，优先安排至泉州台商投资区优质学校就读。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kern w:val="0"/>
          <w:sz w:val="32"/>
          <w:szCs w:val="32"/>
          <w:lang w:val="en-US" w:eastAsia="zh-CN"/>
        </w:rPr>
        <w:t>调整教育人才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工作生活补助标准和实施教育人才安居工程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执行期限从印发之日起，有效期至2024年5月31日。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8.如有未尽事宜，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教育文体旅游局负责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解释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0" w:firstLineChars="15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泉州台商投资区管理委员会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40" w:firstLineChars="17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此件主动公开）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tbl>
      <w:tblPr>
        <w:tblStyle w:val="4"/>
        <w:tblpPr w:leftFromText="180" w:rightFromText="180" w:vertAnchor="text" w:horzAnchor="page" w:tblpX="1506" w:tblpY="2137"/>
        <w:tblOverlap w:val="never"/>
        <w:tblW w:w="91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3"/>
        <w:gridCol w:w="33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585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280" w:firstLineChars="100"/>
              <w:jc w:val="both"/>
              <w:textAlignment w:val="auto"/>
              <w:outlineLvl w:val="9"/>
              <w:rPr>
                <w:rFonts w:hint="default" w:ascii="仿宋_GB2312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8"/>
                <w:szCs w:val="28"/>
                <w:lang w:val="zh-CN"/>
              </w:rPr>
              <w:t>泉州台商投资区</w:t>
            </w:r>
            <w:r>
              <w:rPr>
                <w:rFonts w:hint="eastAsia" w:ascii="仿宋_GB2312" w:eastAsia="仿宋_GB2312" w:cs="Times New Roman"/>
                <w:color w:val="auto"/>
                <w:sz w:val="28"/>
                <w:szCs w:val="28"/>
                <w:lang w:val="en-US" w:eastAsia="zh-CN"/>
              </w:rPr>
              <w:t>管理委员会</w:t>
            </w:r>
          </w:p>
        </w:tc>
        <w:tc>
          <w:tcPr>
            <w:tcW w:w="33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280" w:firstLineChars="100"/>
              <w:jc w:val="both"/>
              <w:textAlignment w:val="auto"/>
              <w:outlineLvl w:val="9"/>
              <w:rPr>
                <w:rFonts w:hint="eastAsia" w:ascii="仿宋_GB2312" w:eastAsia="仿宋_GB2312" w:cs="Times New Roman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8"/>
                <w:szCs w:val="28"/>
                <w:lang w:val="zh-CN"/>
              </w:rPr>
              <w:t>20</w:t>
            </w:r>
            <w:r>
              <w:rPr>
                <w:rFonts w:hint="eastAsia" w:ascii="仿宋_GB2312" w:eastAsia="仿宋_GB2312" w:cs="Times New Roman"/>
                <w:color w:val="auto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eastAsia="仿宋_GB2312" w:cs="Times New Roman"/>
                <w:color w:val="auto"/>
                <w:sz w:val="28"/>
                <w:szCs w:val="28"/>
                <w:lang w:val="zh-CN"/>
              </w:rPr>
              <w:t>年</w:t>
            </w:r>
            <w:r>
              <w:rPr>
                <w:rFonts w:hint="eastAsia" w:ascii="仿宋_GB2312" w:eastAsia="仿宋_GB2312" w:cs="Times New Roman"/>
                <w:color w:val="auto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eastAsia="仿宋_GB2312" w:cs="Times New Roman"/>
                <w:color w:val="auto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_GB2312" w:eastAsia="仿宋_GB2312" w:cs="Times New Roman"/>
                <w:color w:val="auto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eastAsia="仿宋_GB2312" w:cs="Times New Roman"/>
                <w:color w:val="auto"/>
                <w:sz w:val="28"/>
                <w:szCs w:val="28"/>
                <w:lang w:val="zh-CN"/>
              </w:rPr>
              <w:t>日印发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2154" w:right="1531" w:bottom="1984" w:left="1587" w:header="851" w:footer="158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15EE7"/>
    <w:rsid w:val="01726B5E"/>
    <w:rsid w:val="121520C2"/>
    <w:rsid w:val="17A01C60"/>
    <w:rsid w:val="1B6E1056"/>
    <w:rsid w:val="227E35E1"/>
    <w:rsid w:val="2758795E"/>
    <w:rsid w:val="2BFB3BB0"/>
    <w:rsid w:val="2F8531DD"/>
    <w:rsid w:val="301347D4"/>
    <w:rsid w:val="329B30CD"/>
    <w:rsid w:val="3462654E"/>
    <w:rsid w:val="34B17A0F"/>
    <w:rsid w:val="35415EE7"/>
    <w:rsid w:val="3AE46497"/>
    <w:rsid w:val="46076555"/>
    <w:rsid w:val="460972E0"/>
    <w:rsid w:val="4ADA5426"/>
    <w:rsid w:val="4E6C3A97"/>
    <w:rsid w:val="570677D3"/>
    <w:rsid w:val="654E75A1"/>
    <w:rsid w:val="69327F8E"/>
    <w:rsid w:val="6AC12D7B"/>
    <w:rsid w:val="6AC622A9"/>
    <w:rsid w:val="7A861202"/>
    <w:rsid w:val="7F9E2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2021-06-01T07:19:00Z</dcterms:created>
  <dc:creator>001</dc:creator>
  <cp:lastModifiedBy>001</cp:lastModifiedBy>
  <cp:lastPrinted>2021-06-01T08:54:00Z</cp:lastPrinted>
  <dcterms:modified xsi:type="dcterms:W3CDTF">2021-11-04T07:29:45Z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79D9F99EC9E240F0A0DBF4D13088C308</vt:lpwstr>
  </property>
</Properties>
</file>