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 件1</w:t>
      </w:r>
    </w:p>
    <w:tbl>
      <w:tblPr>
        <w:tblW w:w="886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5"/>
        <w:gridCol w:w="1989"/>
        <w:gridCol w:w="1989"/>
        <w:gridCol w:w="225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8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叶县2022年公开招聘小学教师学科岗位表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    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  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  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  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  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  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6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  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 件2</w:t>
      </w:r>
    </w:p>
    <w:tbl>
      <w:tblPr>
        <w:tblW w:w="77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2"/>
        <w:gridCol w:w="1729"/>
        <w:gridCol w:w="1729"/>
        <w:gridCol w:w="196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叶县2022年公开招聘初中教师学科岗位表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    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  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  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  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  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  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  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  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  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  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 件3</w:t>
      </w:r>
    </w:p>
    <w:tbl>
      <w:tblPr>
        <w:tblW w:w="82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2612"/>
        <w:gridCol w:w="1545"/>
        <w:gridCol w:w="1170"/>
        <w:gridCol w:w="132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叶县2022年公开招聘高中教师学科岗位表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    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叶县二高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  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  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  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  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叶县融通实验高中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  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  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  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  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  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  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  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  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  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A34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2022-07-29T05:54:44Z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069EE76464B24776B4044C169DDBBEF3</vt:lpwstr>
  </property>
</Properties>
</file>