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jc w:val="center"/>
        <w:textAlignment w:val="baseline"/>
        <w:rPr>
          <w:rFonts w:hint="eastAsia" w:asci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w w:val="10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w w:val="100"/>
          <w:sz w:val="44"/>
          <w:szCs w:val="44"/>
          <w:lang w:val="en-US" w:eastAsia="zh-CN"/>
        </w:rPr>
        <w:t>科尔沁区人才引进</w:t>
      </w:r>
      <w:r>
        <w:rPr>
          <w:rFonts w:asci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w w:val="100"/>
          <w:sz w:val="44"/>
          <w:szCs w:val="44"/>
          <w:lang w:val="en-US" w:eastAsia="zh-CN"/>
        </w:rPr>
        <w:t>若干政策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18" w:firstLineChars="200"/>
        <w:jc w:val="both"/>
        <w:textAlignment w:val="baseline"/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18" w:firstLineChars="200"/>
        <w:jc w:val="both"/>
        <w:textAlignment w:val="baseline"/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</w:rPr>
        <w:t>为</w:t>
      </w:r>
      <w:r>
        <w:rPr>
          <w:rFonts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</w:rPr>
        <w:t>深入贯彻落实习近平新时代中国特色社会主义思想，加快推进人才优先战略，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</w:rPr>
        <w:t>吸引</w:t>
      </w:r>
      <w:r>
        <w:rPr>
          <w:rFonts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</w:rPr>
        <w:t>各类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</w:rPr>
        <w:t>人才集聚我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区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</w:rPr>
        <w:t>就业创业，构建吸引人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才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</w:rPr>
        <w:t>、留住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人才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</w:rPr>
        <w:t>、用好人才的支撑服务体系，</w:t>
      </w:r>
      <w:r>
        <w:rPr>
          <w:rFonts w:hint="eastAsia" w:asci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保障我区人才政策具体化、可操作、能兑现，让我区人才得到实实在在的政策支持，确保人才引得进、留得住、发展好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，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</w:rPr>
        <w:t>根据《内蒙古自治区人民政府印发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&lt;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</w:rPr>
        <w:t>内蒙古自治区人才引进和流动实施办法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&gt;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</w:rPr>
        <w:t>的通知》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（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</w:rPr>
        <w:t>内政发〔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2017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</w:rPr>
        <w:t>〕77号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）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</w:rPr>
        <w:t>《通辽市人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才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</w:rPr>
        <w:t>引进实施办法》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（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</w:rPr>
        <w:t>通党字〔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2018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</w:rPr>
        <w:t>〕29号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）和《科尔沁区人才引进实施办法》（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</w:rPr>
        <w:t>通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科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</w:rPr>
        <w:t>党字〔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2020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</w:rPr>
        <w:t>〕2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0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</w:rPr>
        <w:t>号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）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</w:rPr>
        <w:t>文件精神，结合科尔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沁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</w:rPr>
        <w:t>区实际，</w:t>
      </w:r>
      <w:r>
        <w:rPr>
          <w:rFonts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</w:rPr>
        <w:t>特</w:t>
      </w:r>
      <w:r>
        <w:rPr>
          <w:rFonts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出台如下新政策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18" w:firstLineChars="200"/>
        <w:jc w:val="both"/>
        <w:textAlignment w:val="baseline"/>
        <w:rPr>
          <w:rFonts w:hint="eastAsia" w:ascii="黑体" w:eastAsia="黑体" w:cs="黑体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ascii="黑体" w:eastAsia="黑体" w:cs="黑体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行政、</w:t>
      </w:r>
      <w:r>
        <w:rPr>
          <w:rFonts w:hint="eastAsia" w:ascii="黑体" w:eastAsia="黑体" w:cs="黑体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事业单位引进人才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18" w:firstLineChars="200"/>
        <w:jc w:val="both"/>
        <w:textAlignment w:val="baseline"/>
        <w:rPr>
          <w:rFonts w:hint="eastAsia" w:ascii="黑体" w:eastAsia="黑体" w:cs="黑体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行政、事业单位“刚性引进”人员享受以下待遇：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618" w:firstLineChars="200"/>
        <w:jc w:val="both"/>
        <w:textAlignment w:val="baseline"/>
        <w:rPr>
          <w:rFonts w:hint="eastAsia" w:ascii="楷体" w:eastAsia="楷体" w:cs="楷体"/>
          <w:b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楷体" w:eastAsia="楷体" w:cs="楷体"/>
          <w:b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纳入编制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jc w:val="both"/>
        <w:textAlignment w:val="baseline"/>
        <w:rPr>
          <w:rFonts w:hint="default" w:ascii="楷体" w:eastAsia="楷体" w:cs="楷体"/>
          <w:b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楷体" w:eastAsia="楷体" w:cs="楷体"/>
          <w:b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 xml:space="preserve">  学历学位证俱全的国家“双一流”大学本科、硕士及以上学历毕业生、符合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《科尔沁区人才引进实施办法》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的其他人员，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引进到我区行政、事业单位工作的纳入编制管理。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618" w:firstLineChars="200"/>
        <w:jc w:val="both"/>
        <w:textAlignment w:val="baseline"/>
        <w:rPr>
          <w:rFonts w:hint="eastAsia" w:ascii="楷体" w:eastAsia="楷体" w:cs="楷体"/>
          <w:b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楷体" w:eastAsia="楷体" w:cs="楷体"/>
          <w:b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（二）</w:t>
      </w:r>
      <w:r>
        <w:rPr>
          <w:rFonts w:hint="eastAsia" w:ascii="楷体" w:eastAsia="楷体" w:cs="楷体"/>
          <w:b/>
          <w:bCs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生活补贴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618" w:firstLineChars="200"/>
        <w:jc w:val="both"/>
        <w:textAlignment w:val="baseline"/>
        <w:rPr>
          <w:rFonts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ascii="仿宋" w:eastAsia="仿宋" w:cs="仿宋"/>
          <w:b/>
          <w:bCs/>
          <w:i w:val="0"/>
          <w:caps w:val="0"/>
          <w:color w:val="000000"/>
          <w:spacing w:val="0"/>
          <w:w w:val="100"/>
          <w:sz w:val="32"/>
          <w:szCs w:val="32"/>
        </w:rPr>
        <w:t>1</w:t>
      </w:r>
      <w:r>
        <w:rPr>
          <w:rFonts w:hint="eastAsia" w:ascii="仿宋" w:eastAsia="仿宋" w:cs="仿宋"/>
          <w:b/>
          <w:bCs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.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国家级有突出贡献的中青年专家或国家级重点学科、重点实验室、工程技术（研究）中心、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国家“万人计划”入选人员</w:t>
      </w:r>
      <w:r>
        <w:rPr>
          <w:rFonts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，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享受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除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正常工资福利待遇外的生活补贴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3000元/月</w:t>
      </w:r>
      <w:r>
        <w:rPr>
          <w:rFonts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；同时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给予博士</w:t>
      </w:r>
      <w:r>
        <w:rPr>
          <w:rFonts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研究生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30万元</w:t>
      </w:r>
      <w:r>
        <w:rPr>
          <w:rFonts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、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硕士</w:t>
      </w:r>
      <w:r>
        <w:rPr>
          <w:rFonts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研究生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10万元</w:t>
      </w:r>
      <w:r>
        <w:rPr>
          <w:rFonts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的安置费。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18" w:firstLineChars="200"/>
        <w:jc w:val="both"/>
        <w:textAlignment w:val="baseline"/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ascii="仿宋" w:eastAsia="仿宋" w:cs="仿宋"/>
          <w:b/>
          <w:bCs/>
          <w:i w:val="0"/>
          <w:caps w:val="0"/>
          <w:color w:val="000000"/>
          <w:spacing w:val="0"/>
          <w:w w:val="100"/>
          <w:sz w:val="32"/>
          <w:szCs w:val="32"/>
        </w:rPr>
        <w:t>2</w:t>
      </w:r>
      <w:r>
        <w:rPr>
          <w:rFonts w:hint="eastAsia" w:ascii="仿宋" w:eastAsia="仿宋" w:cs="仿宋"/>
          <w:b/>
          <w:bCs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.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自治区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（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省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）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级有突出贡献的中青年专家</w:t>
      </w:r>
      <w:r>
        <w:rPr>
          <w:rFonts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和</w:t>
      </w: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自治区杰出人才、草原英才、新世纪321人才工程第一层次人选</w:t>
      </w: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、省部级重点实验室主任、学术委员会主任、工程实验室主任</w:t>
      </w:r>
      <w:r>
        <w:rPr>
          <w:rFonts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，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享受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除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正常工资福利待遇外的生活补贴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3000元/月</w:t>
      </w:r>
      <w:r>
        <w:rPr>
          <w:rFonts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；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给予博士</w:t>
      </w:r>
      <w:r>
        <w:rPr>
          <w:rFonts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研究生2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0万元</w:t>
      </w:r>
      <w:r>
        <w:rPr>
          <w:rFonts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、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硕士</w:t>
      </w:r>
      <w:r>
        <w:rPr>
          <w:rFonts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研究生8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万元</w:t>
      </w:r>
      <w:r>
        <w:rPr>
          <w:rFonts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的安置费。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618" w:firstLineChars="200"/>
        <w:jc w:val="both"/>
        <w:textAlignment w:val="baseline"/>
        <w:rPr>
          <w:rFonts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ascii="仿宋" w:eastAsia="仿宋" w:cs="仿宋"/>
          <w:b/>
          <w:bCs/>
          <w:i w:val="0"/>
          <w:caps w:val="0"/>
          <w:color w:val="000000"/>
          <w:spacing w:val="0"/>
          <w:w w:val="100"/>
          <w:sz w:val="32"/>
          <w:szCs w:val="32"/>
        </w:rPr>
        <w:t>3</w:t>
      </w:r>
      <w:r>
        <w:rPr>
          <w:rFonts w:hint="eastAsia" w:ascii="仿宋" w:eastAsia="仿宋" w:cs="仿宋"/>
          <w:b/>
          <w:bCs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.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</w:rPr>
        <w:t>具有正高级职称</w:t>
      </w:r>
      <w:r>
        <w:rPr>
          <w:rFonts w:hint="eastAsia" w:asci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</w:rPr>
        <w:t>、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</w:rPr>
        <w:t>在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eastAsia="zh-CN"/>
        </w:rPr>
        <w:t>自治区（省）同行业中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</w:rPr>
        <w:t>取得优秀成果或具备</w:t>
      </w:r>
      <w:r>
        <w:rPr>
          <w:rFonts w:ascii="仿宋" w:eastAsia="仿宋" w:cs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</w:rPr>
        <w:t>较高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</w:rPr>
        <w:t>影响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/>
        </w:rPr>
        <w:t>并获得</w:t>
      </w: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自治区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eastAsia="zh-CN"/>
        </w:rPr>
        <w:t>（省）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/>
        </w:rPr>
        <w:t>级政府奖项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</w:rPr>
        <w:t>的人员；</w:t>
      </w: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中华技能大奖获得者和全国技术能手</w:t>
      </w:r>
      <w:r>
        <w:rPr>
          <w:rFonts w:ascii="仿宋" w:eastAsia="仿宋" w:cs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</w:rPr>
        <w:t>，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享受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除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正常工资福利待遇外的生活补贴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2500元/月</w:t>
      </w:r>
      <w:r>
        <w:rPr>
          <w:rFonts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；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给予博士</w:t>
      </w:r>
      <w:r>
        <w:rPr>
          <w:rFonts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研究生1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0万元</w:t>
      </w:r>
      <w:r>
        <w:rPr>
          <w:rFonts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、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硕士</w:t>
      </w:r>
      <w:r>
        <w:rPr>
          <w:rFonts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研究生5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万元</w:t>
      </w:r>
      <w:r>
        <w:rPr>
          <w:rFonts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的安置费。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618" w:firstLineChars="200"/>
        <w:jc w:val="both"/>
        <w:textAlignment w:val="baseline"/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ascii="仿宋" w:eastAsia="仿宋" w:cs="仿宋"/>
          <w:b/>
          <w:bCs/>
          <w:i w:val="0"/>
          <w:caps w:val="0"/>
          <w:color w:val="000000"/>
          <w:spacing w:val="0"/>
          <w:w w:val="100"/>
          <w:sz w:val="32"/>
          <w:szCs w:val="32"/>
        </w:rPr>
        <w:t>4</w:t>
      </w:r>
      <w:r>
        <w:rPr>
          <w:rFonts w:hint="eastAsia" w:ascii="仿宋" w:eastAsia="仿宋" w:cs="仿宋"/>
          <w:b/>
          <w:bCs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.</w:t>
      </w: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全日制博士研究生</w:t>
      </w:r>
      <w:r>
        <w:rPr>
          <w:rFonts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，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享受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除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正常工资福利待遇外的生活补贴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2000元/月</w:t>
      </w:r>
      <w:r>
        <w:rPr>
          <w:rFonts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；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给予10万元</w:t>
      </w:r>
      <w:r>
        <w:rPr>
          <w:rFonts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的安置费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。</w:t>
      </w:r>
      <w:r>
        <w:rPr>
          <w:rFonts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非全日制博士研究生</w:t>
      </w:r>
      <w:r>
        <w:rPr>
          <w:rFonts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、</w:t>
      </w: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获得自治区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eastAsia="zh-CN"/>
        </w:rPr>
        <w:t>（省）</w:t>
      </w: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级政府奖项的具有副高级职称的人员，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享受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除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正常工资福利待遇外的生活补贴</w:t>
      </w:r>
      <w:r>
        <w:rPr>
          <w:rFonts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1500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元/月</w:t>
      </w:r>
      <w:r>
        <w:rPr>
          <w:rFonts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618" w:firstLineChars="200"/>
        <w:jc w:val="both"/>
        <w:textAlignment w:val="baseline"/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ascii="仿宋" w:eastAsia="仿宋" w:cs="仿宋"/>
          <w:b/>
          <w:bCs/>
          <w:i w:val="0"/>
          <w:caps w:val="0"/>
          <w:color w:val="000000"/>
          <w:spacing w:val="0"/>
          <w:w w:val="100"/>
          <w:sz w:val="32"/>
          <w:szCs w:val="32"/>
        </w:rPr>
        <w:t>5</w:t>
      </w:r>
      <w:r>
        <w:rPr>
          <w:rFonts w:hint="eastAsia" w:ascii="仿宋" w:eastAsia="仿宋" w:cs="仿宋"/>
          <w:b/>
          <w:bCs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.</w:t>
      </w: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国家一流建设高校全日制硕士研究生</w:t>
      </w:r>
      <w:r>
        <w:rPr>
          <w:rFonts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、</w:t>
      </w: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当年QS世界排名前</w:t>
      </w:r>
      <w:r>
        <w:rPr>
          <w:rFonts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300</w:t>
      </w: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名境外大学且第一学历为全日制本科的</w:t>
      </w: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留学归国全日制硕士研究生</w:t>
      </w:r>
      <w:r>
        <w:rPr>
          <w:rFonts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，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享受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除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正常工资福利待遇外的生活补贴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1000元/月。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618" w:firstLineChars="200"/>
        <w:jc w:val="both"/>
        <w:textAlignment w:val="baseline"/>
        <w:rPr>
          <w:rFonts w:hint="eastAsia" w:ascii="楷体" w:eastAsia="楷体" w:cs="楷体"/>
          <w:b/>
          <w:bCs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楷体" w:eastAsia="楷体" w:cs="楷体"/>
          <w:b/>
          <w:bCs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（三）</w:t>
      </w:r>
      <w:r>
        <w:rPr>
          <w:rFonts w:ascii="楷体" w:eastAsia="楷体" w:cs="楷体"/>
          <w:b/>
          <w:bCs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职务晋升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618" w:firstLineChars="200"/>
        <w:jc w:val="both"/>
        <w:textAlignment w:val="baseline"/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" w:eastAsia="仿宋" w:cs="仿宋_GB2312"/>
          <w:b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1.</w:t>
      </w:r>
      <w:r>
        <w:rPr>
          <w:rFonts w:hint="eastAsia" w:ascii="仿宋" w:eastAsia="仿宋" w:cs="仿宋_GB2312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行政、事业单位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引进的各类人才，在工作中德才兼备、表现突出的，可优先任用到领导岗位或晋升职级。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618" w:firstLineChars="200"/>
        <w:jc w:val="both"/>
        <w:textAlignment w:val="baseline"/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" w:eastAsia="仿宋" w:cs="仿宋_GB2312"/>
          <w:b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2.</w:t>
      </w:r>
      <w:r>
        <w:rPr>
          <w:rFonts w:hint="eastAsia" w:ascii="仿宋" w:eastAsia="仿宋" w:cs="仿宋_GB2312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引进人才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参加专业技术资格评审的，优先评定或推荐。符合聘用政策的，可直接聘用到相应专业技术岗位。一至三类高层次人才引进并取得相应专业技术资格的，单位无相应岗位空缺，可通过设置特设岗位予以聘任；第四、五类高层次引进人才可通过区内自行设岗予以聘用；第六、七类高层次人才同等条件下优先聘用。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引进人才无专业技术资格的，引进单位根据其岗位空缺及其学历学位层次考核认定专业技术职称。全日制高等院校毕业生，从事本专业或相近专业技术工作，经考核合格，直接认定相应的职称。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618" w:firstLineChars="200"/>
        <w:jc w:val="both"/>
        <w:textAlignment w:val="baseline"/>
        <w:rPr>
          <w:rFonts w:hint="eastAsia" w:ascii="楷体" w:eastAsia="楷体" w:cs="楷体"/>
          <w:b/>
          <w:bCs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楷体" w:eastAsia="楷体" w:cs="楷体"/>
          <w:b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（四）科研支持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18" w:firstLineChars="200"/>
        <w:jc w:val="both"/>
        <w:textAlignment w:val="baseline"/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" w:eastAsia="仿宋" w:cs="仿宋_GB2312"/>
          <w:b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1.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鼓励和支持引进人才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勇于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创新，对引进的高科技人才在申请自治区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（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省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）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级及以上科研项目、科技资金等方面予以优先安排，或专项提出申请另行安排专项支持资金。有关部门在项目立项、经费资助、成果申报、学术交流和培训等方面优先予以支持，用人单位在实验设备、科技资料等方面提供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18" w:firstLineChars="200"/>
        <w:jc w:val="both"/>
        <w:textAlignment w:val="baseline"/>
        <w:rPr>
          <w:rFonts w:hint="eastAsia" w:ascii="仿宋" w:eastAsia="仿宋" w:cs="仿宋_GB2312"/>
          <w:b/>
          <w:bCs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" w:eastAsia="仿宋" w:cs="仿宋_GB2312"/>
          <w:b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2.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鼓励有条件的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事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业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单位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建立国家级重点实验室、博士后科研工作站，正式批复后，由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区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财政给予</w:t>
      </w:r>
      <w:r>
        <w:rPr>
          <w:rFonts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2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0万元的一次性补贴。博士研究期满出站后，愿意留在我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区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工作的，办理人才引进相关手续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并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享受引进人才相关待遇。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18" w:firstLineChars="200"/>
        <w:jc w:val="both"/>
        <w:textAlignment w:val="baseline"/>
        <w:rPr>
          <w:rFonts w:hint="eastAsia" w:ascii="楷体" w:eastAsia="楷体" w:cs="楷体"/>
          <w:b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楷体" w:eastAsia="楷体" w:cs="楷体"/>
          <w:b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（五）其他政策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18" w:firstLineChars="200"/>
        <w:jc w:val="both"/>
        <w:textAlignment w:val="baseline"/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" w:eastAsia="仿宋" w:cs="仿宋_GB2312"/>
          <w:b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1.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全面放开人才落户限制，引进高层次人才可凭毕业证或技术技能证书、单位介绍信、社会保险参保证明到派出所办理落户手续。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18" w:firstLineChars="200"/>
        <w:jc w:val="both"/>
        <w:textAlignment w:val="baseline"/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" w:eastAsia="仿宋" w:cs="仿宋_GB2312"/>
          <w:b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2.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对引进的高层次人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才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的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配偶、未成年子女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有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到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科尔沁区调转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工作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就业、就学需求的，由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人才引进工作领导小组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协调用人单位及其主管部门根据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其</w:t>
      </w:r>
      <w:r>
        <w:rPr>
          <w:rFonts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具体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情况按相关政策妥善予以解决。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18" w:firstLineChars="200"/>
        <w:jc w:val="both"/>
        <w:textAlignment w:val="baseline"/>
        <w:rPr>
          <w:rFonts w:hint="eastAsia" w:ascii="黑体" w:eastAsia="黑体" w:cs="黑体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黑体" w:eastAsia="黑体" w:cs="黑体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二、创业人才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18" w:firstLineChars="200"/>
        <w:jc w:val="both"/>
        <w:textAlignment w:val="baseline"/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（一）科尔沁区以外户籍的大学毕业生，具有全日制专科以上学历即可“零门槛”落户。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18" w:firstLineChars="200"/>
        <w:jc w:val="both"/>
        <w:textAlignment w:val="baseline"/>
        <w:rPr>
          <w:rFonts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（二）专项资金贴息的个人创业担保贷款</w:t>
      </w: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享受</w:t>
      </w: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最</w:t>
      </w: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高</w:t>
      </w: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20万元、最长3年的贷款政策；</w:t>
      </w: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专项资金贴息的小微企业创业担保贷款，</w:t>
      </w: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享受</w:t>
      </w: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最高</w:t>
      </w: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300万元、最长2年的贷款政策。</w:t>
      </w: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对还款积极、带动就业能力强、创业项目好的借款个人和小微企业，可继续提供</w:t>
      </w: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最多3次的</w:t>
      </w: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创业担保贷款</w:t>
      </w: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贴息。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18" w:firstLineChars="200"/>
        <w:jc w:val="both"/>
        <w:textAlignment w:val="baseline"/>
        <w:rPr>
          <w:rFonts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（三）全日制高校毕业生创业</w:t>
      </w: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的</w:t>
      </w: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企业被认定为市级、</w:t>
      </w: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自治区</w:t>
      </w: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级、国家级创业示范基地（创业孵化基地）的，按规定分别给予园区最高50万元、100万元、200万元补贴。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18" w:firstLineChars="200"/>
        <w:jc w:val="both"/>
        <w:textAlignment w:val="baseline"/>
        <w:rPr>
          <w:rFonts w:hint="eastAsia" w:ascii="黑体" w:eastAsia="黑体" w:cs="黑体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黑体" w:eastAsia="黑体" w:cs="黑体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三、</w:t>
      </w:r>
      <w:r>
        <w:rPr>
          <w:rFonts w:ascii="黑体" w:eastAsia="黑体" w:cs="黑体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人才管理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618" w:firstLineChars="200"/>
        <w:jc w:val="both"/>
        <w:textAlignment w:val="baseline"/>
        <w:rPr>
          <w:rFonts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（一）引进人才应与用人单位签订5年以上服务协议。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618" w:firstLineChars="200"/>
        <w:jc w:val="both"/>
        <w:textAlignment w:val="baseline"/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（二）</w:t>
      </w:r>
      <w:r>
        <w:rPr>
          <w:rFonts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各类人才的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生活补贴</w:t>
      </w:r>
      <w:r>
        <w:rPr>
          <w:rFonts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共享受5年。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生活补贴</w:t>
      </w:r>
      <w:r>
        <w:rPr>
          <w:rFonts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按月发放，</w:t>
      </w:r>
      <w:r>
        <w:rPr>
          <w:rFonts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安置费按年度分5年平均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发放。</w:t>
      </w:r>
      <w:r>
        <w:rPr>
          <w:rFonts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符合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多</w:t>
      </w:r>
      <w:r>
        <w:rPr>
          <w:rFonts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重人才类别的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，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补贴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按就高不就低的原则办理，不重复享受有关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补贴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。夫妻双方同为引进人才的，安置费按一方享受的最高标准执行。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618" w:firstLineChars="200"/>
        <w:jc w:val="both"/>
        <w:textAlignment w:val="baseline"/>
        <w:rPr>
          <w:rFonts w:hint="default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（三）</w:t>
      </w: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因为经济社会发展特殊需要，引进其他层次的人才，其安置费和生活补贴标准等事宜，可以由人才工作领导小组一事一议研究解决。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618" w:firstLineChars="200"/>
        <w:jc w:val="both"/>
        <w:textAlignment w:val="bottom"/>
        <w:rPr>
          <w:rFonts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（四）</w:t>
      </w:r>
      <w:r>
        <w:rPr>
          <w:rFonts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本政策</w:t>
      </w: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与《科尔沁区人才引进实施办法》不一致的，均以</w:t>
      </w:r>
      <w:r>
        <w:rPr>
          <w:rFonts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本政策</w:t>
      </w: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为准。本</w:t>
      </w:r>
      <w:r>
        <w:rPr>
          <w:rFonts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政策</w:t>
      </w: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由科尔沁区人才工作领导小组负责解释</w:t>
      </w:r>
      <w:r>
        <w:rPr>
          <w:rFonts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，</w:t>
      </w: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自发布之日起施行，有效期为五年。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618" w:firstLineChars="200"/>
        <w:jc w:val="both"/>
        <w:textAlignment w:val="bottom"/>
        <w:rPr>
          <w:rFonts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3708" w:firstLineChars="1200"/>
        <w:jc w:val="both"/>
        <w:textAlignment w:val="bottom"/>
        <w:rPr>
          <w:rFonts w:hint="default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u w:val="none" w:color="auto"/>
          <w:lang w:val="en-US" w:eastAsia="zh-CN"/>
        </w:rPr>
      </w:pPr>
      <w:r>
        <w:rPr>
          <w:rFonts w:hint="eastAsia" w:ascii="仿宋" w:eastAsia="仿宋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u w:val="none" w:color="auto"/>
          <w:lang w:val="en-US" w:eastAsia="zh-CN"/>
        </w:rPr>
        <w:t>中共科尔沁区委人才工作领导小组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4944" w:firstLineChars="1600"/>
        <w:jc w:val="both"/>
        <w:textAlignment w:val="baseline"/>
        <w:rPr>
          <w:rFonts w:hint="default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2022年5月9日</w:t>
      </w:r>
    </w:p>
    <w:sectPr>
      <w:footerReference r:id="rId3" w:type="default"/>
      <w:pgSz w:w="11906" w:h="16838"/>
      <w:pgMar w:top="1757" w:right="1587" w:bottom="1757" w:left="1587" w:header="851" w:footer="992" w:gutter="0"/>
      <w:paperSrc/>
      <w:pgNumType w:fmt="numberInDash"/>
      <w:cols w:space="0" w:num="1"/>
      <w:rtlGutter w:val="1"/>
      <w:docGrid w:type="linesAndChars" w:linePitch="605" w:charSpace="-236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C0CD52BB-1A17-429A-A4B5-998290240F7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7A3990B-FBBA-478D-B4B0-3CCE0E931D9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3" w:fontKey="{A0390A70-59A5-45FB-8B24-DCD5DBD8271E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9AC20168-9129-4737-85BA-7C86F3797CC2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9F64C265-BC61-4C10-B845-43386AB3FBAF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6" w:fontKey="{DB1040C4-F293-49FF-A044-0BB103AA8C72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rFonts w:ascii="Calibri" w:hAnsi="Calibri" w:eastAsia="宋体" w:cs="Arial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6530" cy="139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7653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1pt;width:13.9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v/4JC0QAAAAMBAAAPAAAAAAAAAAEAIAAAACIAAABkcnMvZG93bnJldi54&#10;bWxQSwECFAAUAAAACACHTuJAfaDXJ8gBAACNAwAADgAAAAAAAAABACAAAAAg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C9A57C"/>
    <w:multiLevelType w:val="singleLevel"/>
    <w:tmpl w:val="41C9A57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D4ED8C5"/>
    <w:multiLevelType w:val="singleLevel"/>
    <w:tmpl w:val="5D4ED8C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99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yODZlYjUyZTAxNmFmMmYwZmMxYWViYzdlYTY0ZGYifQ=="/>
  </w:docVars>
  <w:rsids>
    <w:rsidRoot w:val="00000000"/>
    <w:rsid w:val="001118D5"/>
    <w:rsid w:val="019620DA"/>
    <w:rsid w:val="02344CB2"/>
    <w:rsid w:val="02C5112B"/>
    <w:rsid w:val="03AE6EC3"/>
    <w:rsid w:val="03CE1412"/>
    <w:rsid w:val="0442536A"/>
    <w:rsid w:val="050A67A0"/>
    <w:rsid w:val="05F106B5"/>
    <w:rsid w:val="07B06D30"/>
    <w:rsid w:val="096211FF"/>
    <w:rsid w:val="098552F6"/>
    <w:rsid w:val="09945539"/>
    <w:rsid w:val="0A380B72"/>
    <w:rsid w:val="0B0823CE"/>
    <w:rsid w:val="0C0D15D3"/>
    <w:rsid w:val="0E5D5C20"/>
    <w:rsid w:val="0FDF5015"/>
    <w:rsid w:val="100E6B2F"/>
    <w:rsid w:val="103B4960"/>
    <w:rsid w:val="10670DAC"/>
    <w:rsid w:val="110E5460"/>
    <w:rsid w:val="11FC144F"/>
    <w:rsid w:val="128C6629"/>
    <w:rsid w:val="12B80E26"/>
    <w:rsid w:val="12F47048"/>
    <w:rsid w:val="12F5760B"/>
    <w:rsid w:val="156362D5"/>
    <w:rsid w:val="15DC2192"/>
    <w:rsid w:val="16583CA2"/>
    <w:rsid w:val="18134EDB"/>
    <w:rsid w:val="187E2755"/>
    <w:rsid w:val="18820B08"/>
    <w:rsid w:val="18AB3B34"/>
    <w:rsid w:val="18EF1F61"/>
    <w:rsid w:val="19861DD7"/>
    <w:rsid w:val="1B0D70FB"/>
    <w:rsid w:val="1B351F9A"/>
    <w:rsid w:val="1C791321"/>
    <w:rsid w:val="1CA0736B"/>
    <w:rsid w:val="1D45701B"/>
    <w:rsid w:val="1DB07205"/>
    <w:rsid w:val="1DC30DD1"/>
    <w:rsid w:val="1FF27875"/>
    <w:rsid w:val="20AA6925"/>
    <w:rsid w:val="20F052F3"/>
    <w:rsid w:val="20F244F2"/>
    <w:rsid w:val="217C6B87"/>
    <w:rsid w:val="21B45AE5"/>
    <w:rsid w:val="225A39C7"/>
    <w:rsid w:val="227429C5"/>
    <w:rsid w:val="23D47F07"/>
    <w:rsid w:val="23E20C3A"/>
    <w:rsid w:val="259912F7"/>
    <w:rsid w:val="25FF7D3C"/>
    <w:rsid w:val="270C7E18"/>
    <w:rsid w:val="27E63973"/>
    <w:rsid w:val="28EC09B8"/>
    <w:rsid w:val="29417B05"/>
    <w:rsid w:val="2B7600D7"/>
    <w:rsid w:val="2DAC3B4C"/>
    <w:rsid w:val="2DCF7E49"/>
    <w:rsid w:val="2F6264BC"/>
    <w:rsid w:val="32CC5E40"/>
    <w:rsid w:val="33011838"/>
    <w:rsid w:val="33B82FFE"/>
    <w:rsid w:val="33FA7C99"/>
    <w:rsid w:val="36652382"/>
    <w:rsid w:val="36FF3EE3"/>
    <w:rsid w:val="39905E12"/>
    <w:rsid w:val="3B3B7A00"/>
    <w:rsid w:val="3BBC5F5C"/>
    <w:rsid w:val="3BD511A9"/>
    <w:rsid w:val="3CFC0BEE"/>
    <w:rsid w:val="3E27797F"/>
    <w:rsid w:val="3E6A5D6F"/>
    <w:rsid w:val="3F534656"/>
    <w:rsid w:val="40195EF1"/>
    <w:rsid w:val="40AB3A78"/>
    <w:rsid w:val="4133666B"/>
    <w:rsid w:val="41917061"/>
    <w:rsid w:val="45227A7E"/>
    <w:rsid w:val="45EC7D86"/>
    <w:rsid w:val="464B69A4"/>
    <w:rsid w:val="471563D0"/>
    <w:rsid w:val="47BB1907"/>
    <w:rsid w:val="47FC100D"/>
    <w:rsid w:val="48494466"/>
    <w:rsid w:val="48B854C9"/>
    <w:rsid w:val="49460957"/>
    <w:rsid w:val="49912A00"/>
    <w:rsid w:val="4DC37F61"/>
    <w:rsid w:val="4DED166E"/>
    <w:rsid w:val="4DEF79D8"/>
    <w:rsid w:val="4E847D2E"/>
    <w:rsid w:val="4EB67232"/>
    <w:rsid w:val="4FEB53AB"/>
    <w:rsid w:val="5146156A"/>
    <w:rsid w:val="524B56C6"/>
    <w:rsid w:val="526037D7"/>
    <w:rsid w:val="528126DC"/>
    <w:rsid w:val="52865856"/>
    <w:rsid w:val="52EA4BA0"/>
    <w:rsid w:val="53452D81"/>
    <w:rsid w:val="535D6F51"/>
    <w:rsid w:val="53CF535F"/>
    <w:rsid w:val="53F06521"/>
    <w:rsid w:val="546B4E4A"/>
    <w:rsid w:val="5483467A"/>
    <w:rsid w:val="56FE65E8"/>
    <w:rsid w:val="57F8003E"/>
    <w:rsid w:val="5A1C61E0"/>
    <w:rsid w:val="5A1D65F2"/>
    <w:rsid w:val="5BA54992"/>
    <w:rsid w:val="5C16373E"/>
    <w:rsid w:val="5CDC7B54"/>
    <w:rsid w:val="5D30024A"/>
    <w:rsid w:val="5F4E4093"/>
    <w:rsid w:val="5F763F0C"/>
    <w:rsid w:val="5F8F7357"/>
    <w:rsid w:val="60134C69"/>
    <w:rsid w:val="61194197"/>
    <w:rsid w:val="64A64F8F"/>
    <w:rsid w:val="64CE472C"/>
    <w:rsid w:val="64DC358A"/>
    <w:rsid w:val="658E36FD"/>
    <w:rsid w:val="65D92673"/>
    <w:rsid w:val="66DF7754"/>
    <w:rsid w:val="67F2478E"/>
    <w:rsid w:val="686F06BC"/>
    <w:rsid w:val="689B6EBF"/>
    <w:rsid w:val="690E44C8"/>
    <w:rsid w:val="69C779D0"/>
    <w:rsid w:val="6B02080B"/>
    <w:rsid w:val="6BE75D65"/>
    <w:rsid w:val="6CC97ABA"/>
    <w:rsid w:val="6D2A1CCE"/>
    <w:rsid w:val="6E2F5288"/>
    <w:rsid w:val="6F0F4FAF"/>
    <w:rsid w:val="6F147455"/>
    <w:rsid w:val="6FC05405"/>
    <w:rsid w:val="702173D5"/>
    <w:rsid w:val="71014A4A"/>
    <w:rsid w:val="71177E7F"/>
    <w:rsid w:val="73377C92"/>
    <w:rsid w:val="73B13A3B"/>
    <w:rsid w:val="748F4CEA"/>
    <w:rsid w:val="75553AA4"/>
    <w:rsid w:val="757C324D"/>
    <w:rsid w:val="75B72E5F"/>
    <w:rsid w:val="76D77557"/>
    <w:rsid w:val="77170059"/>
    <w:rsid w:val="79ED72E1"/>
    <w:rsid w:val="79F37998"/>
    <w:rsid w:val="7A6B47A8"/>
    <w:rsid w:val="7C397514"/>
    <w:rsid w:val="7D380846"/>
    <w:rsid w:val="7F4428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hAnsi="Times New Roman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FollowedHyperlink"/>
    <w:basedOn w:val="9"/>
    <w:qFormat/>
    <w:uiPriority w:val="0"/>
    <w:rPr>
      <w:color w:val="323232"/>
      <w:u w:val="none"/>
    </w:rPr>
  </w:style>
  <w:style w:type="character" w:styleId="12">
    <w:name w:val="Emphasis"/>
    <w:basedOn w:val="9"/>
    <w:qFormat/>
    <w:uiPriority w:val="0"/>
  </w:style>
  <w:style w:type="character" w:styleId="13">
    <w:name w:val="HTML Definition"/>
    <w:basedOn w:val="9"/>
    <w:qFormat/>
    <w:uiPriority w:val="0"/>
  </w:style>
  <w:style w:type="character" w:styleId="14">
    <w:name w:val="HTML Variable"/>
    <w:basedOn w:val="9"/>
    <w:qFormat/>
    <w:uiPriority w:val="0"/>
  </w:style>
  <w:style w:type="character" w:styleId="15">
    <w:name w:val="Hyperlink"/>
    <w:basedOn w:val="9"/>
    <w:qFormat/>
    <w:uiPriority w:val="0"/>
    <w:rPr>
      <w:color w:val="323232"/>
      <w:u w:val="none"/>
    </w:rPr>
  </w:style>
  <w:style w:type="character" w:styleId="16">
    <w:name w:val="HTML Code"/>
    <w:basedOn w:val="9"/>
    <w:qFormat/>
    <w:uiPriority w:val="0"/>
    <w:rPr>
      <w:rFonts w:ascii="Courier New" w:hAnsi="Courier New"/>
      <w:sz w:val="20"/>
    </w:rPr>
  </w:style>
  <w:style w:type="character" w:styleId="17">
    <w:name w:val="HTML Cite"/>
    <w:basedOn w:val="9"/>
    <w:qFormat/>
    <w:uiPriority w:val="0"/>
  </w:style>
  <w:style w:type="paragraph" w:customStyle="1" w:styleId="18">
    <w:name w:val="p0"/>
    <w:basedOn w:val="1"/>
    <w:qFormat/>
    <w:uiPriority w:val="0"/>
    <w:pPr>
      <w:widowControl/>
    </w:pPr>
    <w:rPr>
      <w:kern w:val="0"/>
      <w:szCs w:val="21"/>
    </w:rPr>
  </w:style>
  <w:style w:type="character" w:customStyle="1" w:styleId="19">
    <w:name w:val="nth-child(2)"/>
    <w:basedOn w:val="9"/>
    <w:qFormat/>
    <w:uiPriority w:val="0"/>
  </w:style>
  <w:style w:type="character" w:customStyle="1" w:styleId="20">
    <w:name w:val="nth-child(1)"/>
    <w:basedOn w:val="9"/>
    <w:qFormat/>
    <w:uiPriority w:val="0"/>
  </w:style>
  <w:style w:type="character" w:customStyle="1" w:styleId="21">
    <w:name w:val="nth-child(1)1"/>
    <w:basedOn w:val="9"/>
    <w:qFormat/>
    <w:uiPriority w:val="0"/>
  </w:style>
  <w:style w:type="character" w:customStyle="1" w:styleId="22">
    <w:name w:val="nth-child(1)2"/>
    <w:basedOn w:val="9"/>
    <w:qFormat/>
    <w:uiPriority w:val="0"/>
  </w:style>
  <w:style w:type="character" w:customStyle="1" w:styleId="23">
    <w:name w:val="before"/>
    <w:basedOn w:val="9"/>
    <w:qFormat/>
    <w:uiPriority w:val="0"/>
    <w:rPr>
      <w:shd w:val="clear" w:color="auto" w:fill="006FAF"/>
    </w:rPr>
  </w:style>
  <w:style w:type="character" w:customStyle="1" w:styleId="24">
    <w:name w:val="before1"/>
    <w:basedOn w:val="9"/>
    <w:qFormat/>
    <w:uiPriority w:val="0"/>
    <w:rPr>
      <w:shd w:val="clear" w:color="auto" w:fill="DDDDDD"/>
    </w:rPr>
  </w:style>
  <w:style w:type="character" w:customStyle="1" w:styleId="25">
    <w:name w:val="after"/>
    <w:basedOn w:val="9"/>
    <w:qFormat/>
    <w:uiPriority w:val="0"/>
    <w:rPr>
      <w:shd w:val="clear" w:color="auto" w:fill="006FAF"/>
    </w:rPr>
  </w:style>
  <w:style w:type="character" w:customStyle="1" w:styleId="26">
    <w:name w:val="nth-child(3)"/>
    <w:basedOn w:val="9"/>
    <w:qFormat/>
    <w:uiPriority w:val="0"/>
  </w:style>
  <w:style w:type="character" w:customStyle="1" w:styleId="27">
    <w:name w:val="nth-child(3)1"/>
    <w:basedOn w:val="9"/>
    <w:qFormat/>
    <w:uiPriority w:val="0"/>
  </w:style>
  <w:style w:type="character" w:customStyle="1" w:styleId="28">
    <w:name w:val="nth-child(3)2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4</Pages>
  <Words>2088</Words>
  <Characters>2154</Characters>
  <Lines>0</Lines>
  <Paragraphs>46</Paragraphs>
  <TotalTime>37</TotalTime>
  <ScaleCrop>false</ScaleCrop>
  <LinksUpToDate>false</LinksUpToDate>
  <CharactersWithSpaces>2158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2021-08-05T08:40:00Z</dcterms:created>
  <dc:creator>ws</dc:creator>
  <cp:lastModifiedBy>少琪</cp:lastModifiedBy>
  <cp:lastPrinted>2022-07-12T01:55:00Z</cp:lastPrinted>
  <dcterms:modified xsi:type="dcterms:W3CDTF">2022-08-10T01:44:13Z</dcterms:modified>
  <dc:title>科尔沁区人才引进若干政策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E391B6CBA1FA404694BDFD78E8EDB942</vt:lpwstr>
  </property>
</Properties>
</file>