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招聘学科、人数及相关要求（共28名）</w:t>
      </w:r>
    </w:p>
    <w:tbl>
      <w:tblPr>
        <w:tblW w:w="1243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920"/>
        <w:gridCol w:w="711"/>
        <w:gridCol w:w="6809"/>
        <w:gridCol w:w="958"/>
        <w:gridCol w:w="238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招聘单位及岗位数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物理学（一级学科）、物理教育、学科教学（物理）、应用物理学、课程与教学论（物理）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盂溪中学1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城峰中学1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化学、应用化学、化学生物学、分子科学与工程、课程与教学论（化学）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盂溪中学1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马克思主义理论（一级学科）、政治学（一级学科）、哲学（一级学科）、思想政治教育、学科教学（政治）、法学、政治学与行政学、政治学经济学与哲学、科学社会主义、中共党史、课程与教学论（政治）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盂溪中学1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历史学（一级学科）、历史教育、学科教学（历史）、课程与教学论（历史）、世界史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盂溪中学1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地理学（一级学科）、学科教学（地理）、课程与教学论（地理）、地理科学、自然地理与资源环境、人文地理与城乡规划、地理信息科学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盂溪中学1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高中语文A岗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语文教育、汉语言文学、对外汉语、汉语国际教育、中国语言文学、现代汉语语言学、学科教育（语文）、新闻学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仙居中学1职业中专1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男性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高中语文B岗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语文教育、汉语言文学、对外汉语、汉语国际教育、中国语言文学、现代汉语语言学、学科教育（语文）、新闻学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仙居中学1职业中专1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高中数学A岗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数学教育、数学、数学与应用数学、基础数学、学科教育（数学）、信息与计算科学、数理基础科学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职业中专1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男性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高中数学B岗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数学教育、数学、数学与应用数学、基础数学、学科教育（数学）、信息与计算科学、数理基础科学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盂溪中学1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职业中专1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英语、商务英语、英语教育、英语口译、英语笔译、应用英语、英语语言文学、外国语言文学（英语）、学科教学（英语）、外国语言学及应用语言学（英语）、课程与教学论（英语）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体育学（一级学科）、体育教育、学科教学（体育）、课程与教学论（体育）、社会体育指导与管理、体育学、体育教学、运动训练、武术与民族传统体育、运动人体科学、休闲体育、体能训练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仙居中学1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城峰中学1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职教计算机网络安全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计算机科学与技术、计算机应用技术、网络工程、计算机网络与信息安全、网络安全、网络空间安全、教育技术学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职业中专1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若研究生专业为计算机科学与技术、计算机应用技的，需获得过省级网络安全类大赛二等奖及以上。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英语、商务英语、英语教育、英语口译、英语笔译、应用英语、英语语言文学、外国语言文学（英语）、学科教学（英语）、外国语言学及应用语言学（英语）、课程与教学论（英语）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仙居二中1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语文教育、汉语言文学、对外汉语、汉语国际教育、中国语言文学、现代汉语语言学、学科教育（语文）、新闻学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仙居二中1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学教育、物理学（一级学科）、物理教育、学科教学（物理）、应用物理学、课程与教学论（物理）、化学、应用化学、化学生物学、分子科学与工程、课程与教学论（化学）、生物学（一级学科）、生物教育、学科教学（生物）、课程与教学论（生物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安洲中学1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初中社会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理论（一级学科）、政治学（一级学科）、哲学（一级学科）、思想政治教育、学科教学（政治）、法学、政治学与行政学、政治学经济学与哲学、科学社会主义、中共党史、课程与教学论（政治）、历史学（一级学科）、历史教育、学科教学（历史）、课程与教学论（历史）、世界史、地理学（一级学科）、学科教学（地理）、课程与教学论（地理）、地理科学、自然地理与资源环境、人文地理与城乡规划、地理信息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安洲中学1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N2M3ZGM0Y2RmODJlZDczZjdhZGU5NmZhNjQ2ZmYifQ=="/>
  </w:docVars>
  <w:rsids>
    <w:rsidRoot w:val="00000000"/>
    <w:rsid w:val="1344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2022-10-27T01:42:07Z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0858F84C1AB94034B85F37625BAEFD04</vt:lpwstr>
  </property>
</Properties>
</file>