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1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59"/>
        <w:gridCol w:w="759"/>
        <w:gridCol w:w="4958"/>
        <w:gridCol w:w="240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计划数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对口专业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中国语言文学类（0501）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本科或研究生阶段所学专业需与所报学科专业对口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中国语言文学（0501）、学科教学（语文）（045103）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哲学(01)、经济学(02)、法学(03)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哲学(01)、经济学(02)、法学(03)、学科教学(思政)（045102）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地理科学类(0705)、大气科学类(0706)、地质学类(0709)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地理科学(0705)、大气科学(0706)、地质学(0709)、学科教学（地理）(045110)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物理学类（0702）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物理学(0702)、学科教学（物理）(045105)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化学类（0703）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化学类（0703）、化学工程与技术（0817）、材料科学与工程类（0805）、学科教学（化学）（045106）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 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生物学类（0710）、生物工程类（083001）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生物学类（0710）、学科教学（生物）（045107）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技术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计算机类（0809）、电子信息类（0807）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计算机科学与技术（0812）；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电子信息类（0854）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现代教育技术（045114）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294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2023-01-16T03:29:32Z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105F0312772147A4BC27AF96B59CD08C</vt:lpwstr>
  </property>
</Properties>
</file>