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747" w:tblpY="1918"/>
        <w:tblOverlap w:val="never"/>
        <w:tblW w:w="1557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990"/>
        <w:gridCol w:w="1080"/>
        <w:gridCol w:w="750"/>
        <w:gridCol w:w="945"/>
        <w:gridCol w:w="675"/>
        <w:gridCol w:w="2055"/>
        <w:gridCol w:w="1005"/>
        <w:gridCol w:w="885"/>
        <w:gridCol w:w="840"/>
        <w:gridCol w:w="1215"/>
        <w:gridCol w:w="795"/>
        <w:gridCol w:w="765"/>
        <w:gridCol w:w="1020"/>
        <w:gridCol w:w="930"/>
        <w:gridCol w:w="9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黑体" w:eastAsia="黑体"/>
                <w:szCs w:val="32"/>
              </w:rPr>
              <w:t>附件1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32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32"/>
                <w:lang w:bidi="ar"/>
              </w:rPr>
              <w:t>广西壮族自治区警官学校2023年公开招聘高层次人才岗位信息表</w:t>
            </w:r>
            <w:bookmarkEnd w:id="0"/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>
        <w:trPr>
          <w:trHeight w:val="10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用人单位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岗位序号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岗位名称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岗位类别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岗位等级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招聘人数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是否要求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全日制 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学位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职称或职（执）业资格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年龄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考试方式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用人     方式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司法执行技术类高层次人才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专技七级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监狱学、犯罪学、狱政管理、刑事执行、罪犯管教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副高及以上职称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45周岁以下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考核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司法应用类高层次人才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专技七级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司法行政、司法文秘、司法管理、法学类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副高及以上职称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45周岁以下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考核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rPr>
          <w:trHeight w:val="11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临床医学类高层次人才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专技七级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临床医学、精神医学、医学营养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取得执业医师资格，并获副高及以上职称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45周岁以下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中共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党员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考核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思政类高层次人才1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专技七级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政治学与行政学、思想政治教育、马克思主义哲学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副高及以上职称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45周岁以下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中共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党员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考核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广西警官学校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23005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思政类高层次人才2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专技十级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马克思主义理论、马克思主义发展史、马克思主义中国化研究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博士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40周岁以下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考核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事业编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wYTQwNjYyNzNlZmYwODg0MzMwMTU3ODZmOTRmOGMifQ=="/>
  </w:docVars>
  <w:rsids>
    <w:rsidRoot w:val="663A018B"/>
    <w:rsid w:val="663A0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2023-02-27T10:06:00Z</dcterms:created>
  <dc:creator> 园长徽</dc:creator>
  <cp:lastModifiedBy> 园长徽</cp:lastModifiedBy>
  <dcterms:modified xsi:type="dcterms:W3CDTF">2023-02-27T10:09:11Z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6C5B4D427C1A46268D300A20AE7EF64D</vt:lpwstr>
  </property>
</Properties>
</file>