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both"/>
        <w:rPr>
          <w:rFonts w:hint="eastAsia" w:ascii="黑体" w:hAnsi="黑体" w:eastAsia="黑体" w:cs="黑体"/>
          <w:sz w:val="28"/>
          <w:szCs w:val="28"/>
        </w:rPr>
      </w:pPr>
      <w:r>
        <w:rPr>
          <w:rFonts w:hint="eastAsia" w:ascii="黑体" w:hAnsi="黑体" w:eastAsia="黑体" w:cs="黑体"/>
          <w:sz w:val="28"/>
          <w:szCs w:val="28"/>
        </w:rPr>
        <w:t>附件</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乌兰察布市</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年高层次人才需求信息</w:t>
      </w:r>
    </w:p>
    <w:tbl>
      <w:tblPr>
        <w:tblStyle w:val="5"/>
        <w:tblW w:w="14553" w:type="dxa"/>
        <w:jc w:val="center"/>
        <w:tblInd w:w="0" w:type="dxa"/>
        <w:tblLayout w:type="fixed"/>
        <w:tblCellMar>
          <w:top w:w="0" w:type="dxa"/>
          <w:left w:w="108" w:type="dxa"/>
          <w:bottom w:w="0" w:type="dxa"/>
          <w:right w:w="108" w:type="dxa"/>
        </w:tblCellMar>
      </w:tblPr>
      <w:tblGrid>
        <w:gridCol w:w="450"/>
        <w:gridCol w:w="1806"/>
        <w:gridCol w:w="1290"/>
        <w:gridCol w:w="765"/>
        <w:gridCol w:w="1185"/>
        <w:gridCol w:w="735"/>
        <w:gridCol w:w="2475"/>
        <w:gridCol w:w="1065"/>
        <w:gridCol w:w="1031"/>
        <w:gridCol w:w="1560"/>
        <w:gridCol w:w="1054"/>
        <w:gridCol w:w="1137"/>
      </w:tblGrid>
      <w:tr>
        <w:tblPrEx>
          <w:tblLayout w:type="fixed"/>
          <w:tblCellMar>
            <w:top w:w="0" w:type="dxa"/>
            <w:left w:w="108" w:type="dxa"/>
            <w:bottom w:w="0" w:type="dxa"/>
            <w:right w:w="108" w:type="dxa"/>
          </w:tblCellMar>
        </w:tblPrEx>
        <w:trPr>
          <w:trHeight w:val="1413" w:hRule="atLeast"/>
          <w:jc w:val="center"/>
        </w:trPr>
        <w:tc>
          <w:tcPr>
            <w:tcW w:w="14553" w:type="dxa"/>
            <w:gridSpan w:val="12"/>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仿宋" w:hAnsi="仿宋" w:eastAsia="仿宋" w:cs="仿宋"/>
                <w:b/>
                <w:color w:val="000000"/>
                <w:kern w:val="0"/>
                <w:sz w:val="24"/>
                <w:szCs w:val="24"/>
                <w:lang w:bidi="ar"/>
              </w:rPr>
            </w:pPr>
            <w:r>
              <w:rPr>
                <w:rFonts w:hint="eastAsia" w:ascii="仿宋" w:hAnsi="仿宋" w:eastAsia="仿宋" w:cs="仿宋"/>
                <w:b/>
                <w:color w:val="000000"/>
                <w:kern w:val="0"/>
                <w:sz w:val="24"/>
                <w:szCs w:val="24"/>
                <w:lang w:bidi="ar"/>
              </w:rPr>
              <w:t>单位简介（500字以内）</w:t>
            </w:r>
          </w:p>
          <w:p>
            <w:pPr>
              <w:pStyle w:val="3"/>
              <w:keepNext w:val="0"/>
              <w:keepLines w:val="0"/>
              <w:pageBreakBefore w:val="0"/>
              <w:widowControl w:val="0"/>
              <w:kinsoku/>
              <w:wordWrap/>
              <w:overflowPunct/>
              <w:topLinePunct w:val="0"/>
              <w:bidi w:val="0"/>
              <w:spacing w:before="0" w:beforeAutospacing="0" w:after="0" w:afterAutospacing="0"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内蒙古集宁一中创建于1954年，1962年被评为首批自治区重点高中，是内蒙古自治区人民政府最早确定的省级重点中学。2003年，通过自治区教育厅的评估验收，成为自治区首批示范性高中。现有霸王河、榆树湾两个校区，是一所</w:t>
            </w:r>
            <w:r>
              <w:rPr>
                <w:rFonts w:hint="eastAsia" w:ascii="仿宋" w:hAnsi="仿宋" w:eastAsia="仿宋" w:cs="仿宋"/>
                <w:sz w:val="32"/>
                <w:szCs w:val="32"/>
                <w:lang w:eastAsia="zh-CN"/>
              </w:rPr>
              <w:t>包括初中和高中的完全中学，占地面积</w:t>
            </w:r>
            <w:r>
              <w:rPr>
                <w:rFonts w:hint="eastAsia" w:ascii="仿宋" w:hAnsi="仿宋" w:eastAsia="仿宋" w:cs="仿宋"/>
                <w:sz w:val="32"/>
                <w:szCs w:val="32"/>
                <w:lang w:val="en-US" w:eastAsia="zh-CN"/>
              </w:rPr>
              <w:t>700多亩，建筑面积29万平方米。</w:t>
            </w:r>
          </w:p>
          <w:p>
            <w:pPr>
              <w:ind w:firstLine="600"/>
              <w:jc w:val="both"/>
              <w:rPr>
                <w:rFonts w:hint="eastAsia" w:ascii="仿宋" w:hAnsi="仿宋" w:eastAsia="仿宋" w:cs="仿宋"/>
                <w:b/>
                <w:color w:val="000000"/>
                <w:kern w:val="0"/>
                <w:sz w:val="24"/>
                <w:szCs w:val="24"/>
                <w:lang w:bidi="ar"/>
              </w:rPr>
            </w:pPr>
            <w:r>
              <w:rPr>
                <w:rFonts w:hint="eastAsia" w:ascii="仿宋" w:hAnsi="仿宋" w:eastAsia="仿宋" w:cs="仿宋"/>
                <w:sz w:val="32"/>
                <w:szCs w:val="32"/>
                <w:lang w:val="en-US" w:eastAsia="zh-CN"/>
              </w:rPr>
              <w:t>集宁一中历史底蕴深厚、</w:t>
            </w:r>
            <w:bookmarkStart w:id="0" w:name="_GoBack"/>
            <w:bookmarkEnd w:id="0"/>
            <w:r>
              <w:rPr>
                <w:rFonts w:hint="eastAsia" w:ascii="仿宋" w:hAnsi="仿宋" w:eastAsia="仿宋" w:cs="仿宋"/>
                <w:sz w:val="32"/>
                <w:szCs w:val="32"/>
                <w:lang w:val="en-US" w:eastAsia="zh-CN"/>
              </w:rPr>
              <w:t>校友资源丰富、品牌效应显著、</w:t>
            </w:r>
            <w:r>
              <w:rPr>
                <w:rFonts w:hint="eastAsia" w:ascii="仿宋" w:hAnsi="仿宋" w:eastAsia="仿宋" w:cs="仿宋"/>
                <w:sz w:val="32"/>
                <w:lang w:val="en-US" w:eastAsia="zh-CN"/>
              </w:rPr>
              <w:t>师资力量雄厚、教学成绩斐然。</w:t>
            </w:r>
            <w:r>
              <w:rPr>
                <w:rFonts w:hint="eastAsia" w:ascii="仿宋" w:hAnsi="仿宋" w:eastAsia="仿宋" w:cs="仿宋"/>
                <w:sz w:val="32"/>
                <w:szCs w:val="32"/>
                <w:lang w:val="en-US" w:eastAsia="zh-CN"/>
              </w:rPr>
              <w:t>学校现有教职工652人，其中特级教师5人，高级教师205人（5人正高级），一级教师295人。一线教师学历均为本科以上，硕士研究生168人，教育部直属六所师范大学毕业生171人。两校区现有在校学生4800多人。</w:t>
            </w:r>
            <w:r>
              <w:rPr>
                <w:rFonts w:hint="eastAsia" w:ascii="仿宋" w:hAnsi="仿宋" w:eastAsia="仿宋" w:cs="仿宋"/>
                <w:sz w:val="32"/>
                <w:lang w:val="en-US" w:eastAsia="zh-CN"/>
              </w:rPr>
              <w:t>经过七十年的历史积淀，几代人的辛勤耕耘沉积了厚实精深的文化底蕴，营造了令学子</w:t>
            </w:r>
            <w:r>
              <w:rPr>
                <w:rFonts w:hint="eastAsia" w:ascii="仿宋" w:hAnsi="仿宋" w:eastAsia="仿宋" w:cs="仿宋"/>
                <w:sz w:val="32"/>
                <w:u w:val="none"/>
                <w:lang w:val="en-US" w:eastAsia="zh-CN"/>
              </w:rPr>
              <w:t>们</w:t>
            </w:r>
            <w:r>
              <w:rPr>
                <w:rFonts w:hint="eastAsia" w:ascii="仿宋" w:hAnsi="仿宋" w:eastAsia="仿宋" w:cs="仿宋"/>
                <w:sz w:val="32"/>
                <w:szCs w:val="32"/>
                <w:lang w:val="en-US" w:eastAsia="zh-CN"/>
              </w:rPr>
              <w:t>仰慕和向往的育人氛围，</w:t>
            </w:r>
            <w:r>
              <w:rPr>
                <w:rFonts w:hint="eastAsia" w:ascii="仿宋_GB2312" w:hAnsi="仿宋_GB2312" w:eastAsia="仿宋_GB2312" w:cs="仿宋_GB2312"/>
                <w:color w:val="auto"/>
                <w:kern w:val="0"/>
                <w:sz w:val="32"/>
                <w:szCs w:val="32"/>
                <w:lang w:val="en-US" w:eastAsia="zh-CN" w:bidi="ar"/>
              </w:rPr>
              <w:t>其中考入清华、北大的学生共计144人。</w:t>
            </w:r>
            <w:r>
              <w:rPr>
                <w:rFonts w:hint="eastAsia" w:ascii="仿宋" w:hAnsi="仿宋" w:eastAsia="仿宋" w:cs="仿宋"/>
                <w:sz w:val="32"/>
                <w:szCs w:val="32"/>
                <w:lang w:val="en-US" w:eastAsia="zh-CN"/>
              </w:rPr>
              <w:t>已为国家培养出近7万名优秀人才。</w:t>
            </w:r>
          </w:p>
        </w:tc>
      </w:tr>
      <w:tr>
        <w:tblPrEx>
          <w:tblLayout w:type="fixed"/>
          <w:tblCellMar>
            <w:top w:w="0" w:type="dxa"/>
            <w:left w:w="108" w:type="dxa"/>
            <w:bottom w:w="0" w:type="dxa"/>
            <w:right w:w="108" w:type="dxa"/>
          </w:tblCellMar>
        </w:tblPrEx>
        <w:trPr>
          <w:trHeight w:val="420" w:hRule="atLeast"/>
          <w:jc w:val="center"/>
        </w:trPr>
        <w:tc>
          <w:tcPr>
            <w:tcW w:w="14553" w:type="dxa"/>
            <w:gridSpan w:val="1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人才需求信息</w:t>
            </w:r>
          </w:p>
        </w:tc>
      </w:tr>
      <w:tr>
        <w:tblPrEx>
          <w:tblLayout w:type="fixed"/>
          <w:tblCellMar>
            <w:top w:w="0" w:type="dxa"/>
            <w:left w:w="108" w:type="dxa"/>
            <w:bottom w:w="0" w:type="dxa"/>
            <w:right w:w="108" w:type="dxa"/>
          </w:tblCellMar>
        </w:tblPrEx>
        <w:trPr>
          <w:trHeight w:val="1029"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序号</w:t>
            </w:r>
          </w:p>
        </w:tc>
        <w:tc>
          <w:tcPr>
            <w:tcW w:w="18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用人单位</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岗位名称</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bidi="ar"/>
              </w:rPr>
              <w:t>学历学位</w:t>
            </w:r>
          </w:p>
        </w:tc>
        <w:tc>
          <w:tcPr>
            <w:tcW w:w="73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人数</w:t>
            </w:r>
          </w:p>
        </w:tc>
        <w:tc>
          <w:tcPr>
            <w:tcW w:w="247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有关要求</w:t>
            </w:r>
          </w:p>
        </w:tc>
        <w:tc>
          <w:tcPr>
            <w:tcW w:w="106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eastAsia="zh-CN" w:bidi="ar"/>
              </w:rPr>
              <w:t>产业链</w:t>
            </w:r>
          </w:p>
        </w:tc>
        <w:tc>
          <w:tcPr>
            <w:tcW w:w="103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联系人</w:t>
            </w:r>
          </w:p>
        </w:tc>
        <w:tc>
          <w:tcPr>
            <w:tcW w:w="156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联系电话</w:t>
            </w:r>
          </w:p>
        </w:tc>
        <w:tc>
          <w:tcPr>
            <w:tcW w:w="105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电子邮箱</w:t>
            </w:r>
          </w:p>
        </w:tc>
        <w:tc>
          <w:tcPr>
            <w:tcW w:w="11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有效期</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中学语文教师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汉语言文学及相关相近专业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具备相应的教师资格证书和普通话等级证书且证书上的任教学科与报</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常年</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2</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中学数学教师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数学及相关相近专业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具备相应的教师资格证书和普通话等级证书且证书上的任教学科与报</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常年</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3</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中学英语教师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英语及相关相近专业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具备相应的教师资格证书和普通话等级证书且证书上的任教学科与报</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常年</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4</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中学日语教师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日语及相关相近专业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具备相应的教师资格证书和普通话等级证书且证书上的任教学科与报</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常年</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5</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中学物理教师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物理及相关相近专业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具备相应的教师资格证书和普通话等级证书且证书上的任教学科与报</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常年</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6</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中学化学教师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化学及相关相近专业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具备相应的教师资格证书和普通话等级证书且证书上的任教学科与报</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常年</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7</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中学政治教师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政治及相关相近专业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报考岗位一致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常年</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8</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中学体育教师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体育及相关相近专业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具备相应的教师资格证书和普通话等级证书且证书上的任教学科与报</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常年</w:t>
            </w:r>
          </w:p>
        </w:tc>
      </w:tr>
      <w:tr>
        <w:tblPrEx>
          <w:tblLayout w:type="fixed"/>
          <w:tblCellMar>
            <w:top w:w="0" w:type="dxa"/>
            <w:left w:w="108" w:type="dxa"/>
            <w:bottom w:w="0" w:type="dxa"/>
            <w:right w:w="108" w:type="dxa"/>
          </w:tblCellMar>
        </w:tblPrEx>
        <w:trPr>
          <w:trHeight w:val="450" w:hRule="atLeast"/>
          <w:jc w:val="center"/>
        </w:trPr>
        <w:tc>
          <w:tcPr>
            <w:tcW w:w="4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9</w:t>
            </w:r>
          </w:p>
        </w:tc>
        <w:tc>
          <w:tcPr>
            <w:tcW w:w="180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内蒙古集宁一中</w:t>
            </w:r>
          </w:p>
        </w:tc>
        <w:tc>
          <w:tcPr>
            <w:tcW w:w="129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中学心理教师</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心理学及相关相近专业</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教育部直属六所师范院校本科及硕士研究生生以上学历及取得报名学历相应的学位</w:t>
            </w:r>
          </w:p>
        </w:tc>
        <w:tc>
          <w:tcPr>
            <w:tcW w:w="73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4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lang w:val="en-US" w:eastAsia="zh-CN"/>
              </w:rPr>
            </w:pPr>
            <w:r>
              <w:rPr>
                <w:rFonts w:hint="eastAsia" w:ascii="仿宋" w:hAnsi="仿宋" w:eastAsia="仿宋" w:cs="仿宋"/>
                <w:color w:val="000000"/>
                <w:sz w:val="22"/>
                <w:lang w:val="en-US" w:eastAsia="zh-CN"/>
              </w:rPr>
              <w:t>具备相应的教师资格证书和普通话等级证书且证书上的任教学科与报</w:t>
            </w:r>
          </w:p>
          <w:p>
            <w:pPr>
              <w:jc w:val="both"/>
              <w:rPr>
                <w:rFonts w:hint="eastAsia" w:ascii="仿宋" w:hAnsi="仿宋" w:eastAsia="仿宋" w:cs="仿宋"/>
                <w:color w:val="000000"/>
                <w:sz w:val="22"/>
              </w:rPr>
            </w:pPr>
            <w:r>
              <w:rPr>
                <w:rFonts w:hint="eastAsia" w:ascii="仿宋" w:hAnsi="仿宋" w:eastAsia="仿宋" w:cs="仿宋"/>
                <w:color w:val="000000"/>
                <w:sz w:val="22"/>
                <w:lang w:val="en-US" w:eastAsia="zh-CN"/>
              </w:rPr>
              <w:t>考岗位一致</w:t>
            </w: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p>
        </w:tc>
        <w:tc>
          <w:tcPr>
            <w:tcW w:w="103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李斌斌</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13500643799</w:t>
            </w:r>
          </w:p>
        </w:tc>
        <w:tc>
          <w:tcPr>
            <w:tcW w:w="105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nmjnyz@163.com</w:t>
            </w:r>
          </w:p>
        </w:tc>
        <w:tc>
          <w:tcPr>
            <w:tcW w:w="1137" w:type="dxa"/>
            <w:tcBorders>
              <w:top w:val="single" w:color="000000" w:sz="4" w:space="0"/>
              <w:left w:val="single" w:color="000000" w:sz="4" w:space="0"/>
              <w:bottom w:val="single" w:color="000000" w:sz="4" w:space="0"/>
              <w:right w:val="single" w:color="000000" w:sz="4" w:space="0"/>
            </w:tcBorders>
            <w:noWrap/>
            <w:vAlign w:val="bottom"/>
          </w:tcPr>
          <w:p>
            <w:pPr>
              <w:jc w:val="center"/>
              <w:rPr>
                <w:rFonts w:hint="eastAsia" w:ascii="仿宋" w:hAnsi="仿宋" w:eastAsia="仿宋" w:cs="仿宋"/>
                <w:color w:val="000000"/>
                <w:sz w:val="22"/>
              </w:rPr>
            </w:pPr>
            <w:r>
              <w:rPr>
                <w:rFonts w:hint="eastAsia" w:ascii="仿宋" w:hAnsi="仿宋" w:eastAsia="仿宋" w:cs="仿宋"/>
                <w:color w:val="000000"/>
                <w:sz w:val="22"/>
                <w:lang w:val="en-US" w:eastAsia="zh-CN"/>
              </w:rPr>
              <w:t>常年</w:t>
            </w:r>
          </w:p>
        </w:tc>
      </w:tr>
    </w:tbl>
    <w:p>
      <w:pPr>
        <w:jc w:val="both"/>
        <w:rPr>
          <w:rFonts w:hint="eastAsia" w:ascii="仿宋" w:hAnsi="仿宋" w:eastAsia="仿宋" w:cs="仿宋"/>
        </w:rPr>
      </w:pPr>
      <w:r>
        <w:rPr>
          <w:rFonts w:hint="eastAsia" w:ascii="仿宋" w:hAnsi="仿宋" w:eastAsia="仿宋" w:cs="仿宋"/>
        </w:rPr>
        <w:t>填表说明：“有关要求”指年龄、工作经验、职称资质等具体要求，若无具体要求请填“无”；表格中“联系人”请填写本单位</w:t>
      </w:r>
      <w:r>
        <w:rPr>
          <w:rFonts w:hint="eastAsia" w:ascii="仿宋" w:hAnsi="仿宋" w:eastAsia="仿宋" w:cs="仿宋"/>
          <w:lang w:eastAsia="zh-CN"/>
        </w:rPr>
        <w:t>负责</w:t>
      </w:r>
      <w:r>
        <w:rPr>
          <w:rFonts w:hint="eastAsia" w:ascii="仿宋" w:hAnsi="仿宋" w:eastAsia="仿宋" w:cs="仿宋"/>
        </w:rPr>
        <w:t>人才引进</w:t>
      </w:r>
      <w:r>
        <w:rPr>
          <w:rFonts w:hint="eastAsia" w:ascii="仿宋" w:hAnsi="仿宋" w:eastAsia="仿宋" w:cs="仿宋"/>
          <w:lang w:eastAsia="zh-CN"/>
        </w:rPr>
        <w:t>具体</w:t>
      </w:r>
      <w:r>
        <w:rPr>
          <w:rFonts w:hint="eastAsia" w:ascii="仿宋" w:hAnsi="仿宋" w:eastAsia="仿宋" w:cs="仿宋"/>
        </w:rPr>
        <w:t>工作</w:t>
      </w:r>
      <w:r>
        <w:rPr>
          <w:rFonts w:hint="eastAsia" w:ascii="仿宋" w:hAnsi="仿宋" w:eastAsia="仿宋" w:cs="仿宋"/>
          <w:lang w:eastAsia="zh-CN"/>
        </w:rPr>
        <w:t>的</w:t>
      </w:r>
      <w:r>
        <w:rPr>
          <w:rFonts w:hint="eastAsia" w:ascii="仿宋" w:hAnsi="仿宋" w:eastAsia="仿宋" w:cs="仿宋"/>
        </w:rPr>
        <w:t>人员，</w:t>
      </w:r>
      <w:r>
        <w:rPr>
          <w:rFonts w:hint="eastAsia" w:ascii="仿宋" w:hAnsi="仿宋" w:eastAsia="仿宋" w:cs="仿宋"/>
          <w:lang w:eastAsia="zh-CN"/>
        </w:rPr>
        <w:t>便于引才工作</w:t>
      </w:r>
      <w:r>
        <w:rPr>
          <w:rFonts w:hint="eastAsia" w:ascii="仿宋" w:hAnsi="仿宋" w:eastAsia="仿宋" w:cs="仿宋"/>
        </w:rPr>
        <w:t>咨询；“有效期”指自发布之日起XX个工作日或XX个月之内有效</w:t>
      </w:r>
      <w:r>
        <w:rPr>
          <w:rFonts w:hint="eastAsia" w:ascii="仿宋" w:hAnsi="仿宋" w:eastAsia="仿宋" w:cs="仿宋"/>
          <w:lang w:eastAsia="zh-CN"/>
        </w:rPr>
        <w:t>，原则上要求</w:t>
      </w:r>
      <w:r>
        <w:rPr>
          <w:rFonts w:hint="eastAsia" w:ascii="仿宋" w:hAnsi="仿宋" w:eastAsia="仿宋" w:cs="仿宋"/>
          <w:b/>
          <w:bCs/>
          <w:lang w:val="en-US" w:eastAsia="zh-CN"/>
        </w:rPr>
        <w:t>5</w:t>
      </w:r>
      <w:r>
        <w:rPr>
          <w:rFonts w:hint="eastAsia" w:ascii="仿宋" w:hAnsi="仿宋" w:eastAsia="仿宋" w:cs="仿宋"/>
          <w:lang w:val="en-US" w:eastAsia="zh-CN"/>
        </w:rPr>
        <w:t>个月内</w:t>
      </w:r>
      <w:r>
        <w:rPr>
          <w:rFonts w:hint="eastAsia" w:ascii="仿宋" w:hAnsi="仿宋" w:eastAsia="仿宋" w:cs="仿宋"/>
        </w:rPr>
        <w:t>；所有</w:t>
      </w:r>
      <w:r>
        <w:rPr>
          <w:rFonts w:hint="eastAsia" w:ascii="仿宋" w:hAnsi="仿宋" w:eastAsia="仿宋" w:cs="仿宋"/>
          <w:lang w:eastAsia="zh-CN"/>
        </w:rPr>
        <w:t>项目</w:t>
      </w:r>
      <w:r>
        <w:rPr>
          <w:rFonts w:hint="eastAsia" w:ascii="仿宋" w:hAnsi="仿宋" w:eastAsia="仿宋" w:cs="仿宋"/>
        </w:rPr>
        <w:t>不允许合并填写。</w:t>
      </w:r>
    </w:p>
    <w:p>
      <w:pPr>
        <w:jc w:val="both"/>
        <w:rPr>
          <w:rFonts w:hint="eastAsia" w:ascii="仿宋" w:hAnsi="仿宋" w:eastAsia="仿宋" w:cs="仿宋"/>
          <w:sz w:val="32"/>
          <w:szCs w:val="32"/>
        </w:rPr>
      </w:pPr>
    </w:p>
    <w:p>
      <w:pPr>
        <w:jc w:val="both"/>
        <w:rPr>
          <w:rFonts w:hint="eastAsia" w:ascii="仿宋" w:hAnsi="仿宋" w:eastAsia="仿宋" w:cs="仿宋"/>
        </w:rPr>
      </w:pPr>
    </w:p>
    <w:p/>
    <w:sectPr>
      <w:pgSz w:w="16838" w:h="11906" w:orient="landscape"/>
      <w:pgMar w:top="1797" w:right="1440" w:bottom="1797" w:left="144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0OGIzMTEzYWI4YTU2NzhiYmNkNTY0OTVlNDM0MzEifQ=="/>
  </w:docVars>
  <w:rsids>
    <w:rsidRoot w:val="05987485"/>
    <w:rsid w:val="05987485"/>
    <w:rsid w:val="0ADE2006"/>
    <w:rsid w:val="2B9024CA"/>
    <w:rsid w:val="2CF0102D"/>
    <w:rsid w:val="3A8F0D6D"/>
    <w:rsid w:val="3F9846C8"/>
    <w:rsid w:val="44343C74"/>
    <w:rsid w:val="4DF828D5"/>
    <w:rsid w:val="515E0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2024-08-26T08:33:00Z</dcterms:created>
  <dc:creator>登堂入室</dc:creator>
  <cp:lastModifiedBy>Administrator</cp:lastModifiedBy>
  <dcterms:modified xsi:type="dcterms:W3CDTF">2024-10-07T02:50:50Z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39CC6C6581D14AD79EE4FEC3411067B0_11</vt:lpwstr>
  </property>
</Properties>
</file>