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6" w:lineRule="atLeast"/>
        <w:ind w:left="0" w:right="0" w:firstLine="420"/>
        <w:jc w:val="left"/>
        <w:rPr>
          <w:rFonts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392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5"/>
        <w:gridCol w:w="729"/>
        <w:gridCol w:w="720"/>
        <w:gridCol w:w="981"/>
        <w:gridCol w:w="840"/>
        <w:gridCol w:w="1611"/>
        <w:gridCol w:w="2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45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科室</w:t>
            </w:r>
          </w:p>
        </w:tc>
        <w:tc>
          <w:tcPr>
            <w:tcW w:w="699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69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95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8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58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197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45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出入院管理科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(010101)</w:t>
            </w:r>
          </w:p>
        </w:tc>
        <w:tc>
          <w:tcPr>
            <w:tcW w:w="699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10</w:t>
            </w:r>
          </w:p>
        </w:tc>
        <w:tc>
          <w:tcPr>
            <w:tcW w:w="69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男</w:t>
            </w:r>
          </w:p>
        </w:tc>
        <w:tc>
          <w:tcPr>
            <w:tcW w:w="951" w:type="dxa"/>
            <w:vMerge w:val="restart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专业不限</w:t>
            </w:r>
          </w:p>
        </w:tc>
        <w:tc>
          <w:tcPr>
            <w:tcW w:w="810" w:type="dxa"/>
            <w:vMerge w:val="restart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专科及以上</w:t>
            </w:r>
          </w:p>
        </w:tc>
        <w:tc>
          <w:tcPr>
            <w:tcW w:w="1581" w:type="dxa"/>
            <w:vMerge w:val="restart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门、急诊收费，入出院办理，医保和新农合结算等</w:t>
            </w:r>
          </w:p>
        </w:tc>
        <w:tc>
          <w:tcPr>
            <w:tcW w:w="1971" w:type="dxa"/>
            <w:vMerge w:val="restart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须具有会计从业资格证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5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出入院管理科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(010102)</w:t>
            </w:r>
          </w:p>
        </w:tc>
        <w:tc>
          <w:tcPr>
            <w:tcW w:w="699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5</w:t>
            </w:r>
          </w:p>
        </w:tc>
        <w:tc>
          <w:tcPr>
            <w:tcW w:w="69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女</w:t>
            </w:r>
          </w:p>
        </w:tc>
        <w:tc>
          <w:tcPr>
            <w:tcW w:w="951" w:type="dxa"/>
            <w:vMerge w:val="continue"/>
            <w:shd w:val="clear" w:color="auto" w:fill="FFFFFF"/>
            <w:vAlign w:val="top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10" w:type="dxa"/>
            <w:vMerge w:val="continue"/>
            <w:shd w:val="clear" w:color="auto" w:fill="FFFFFF"/>
            <w:vAlign w:val="top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shd w:val="clear" w:color="auto" w:fill="FFFFFF"/>
            <w:vAlign w:val="top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shd w:val="clear" w:color="auto" w:fill="FFFFFF"/>
            <w:vAlign w:val="top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5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药剂科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(010103)</w:t>
            </w:r>
          </w:p>
        </w:tc>
        <w:tc>
          <w:tcPr>
            <w:tcW w:w="699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10</w:t>
            </w:r>
          </w:p>
        </w:tc>
        <w:tc>
          <w:tcPr>
            <w:tcW w:w="69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男</w:t>
            </w:r>
          </w:p>
        </w:tc>
        <w:tc>
          <w:tcPr>
            <w:tcW w:w="95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药学</w:t>
            </w:r>
          </w:p>
        </w:tc>
        <w:tc>
          <w:tcPr>
            <w:tcW w:w="8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专科及以上</w:t>
            </w:r>
          </w:p>
        </w:tc>
        <w:tc>
          <w:tcPr>
            <w:tcW w:w="158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药房调剂</w:t>
            </w:r>
          </w:p>
        </w:tc>
        <w:tc>
          <w:tcPr>
            <w:tcW w:w="197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须具有药士/师资格证（或考试合格成绩单）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6" w:lineRule="atLeast"/>
        <w:ind w:left="0" w:right="0" w:firstLine="420"/>
        <w:jc w:val="left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4399E"/>
    <w:rsid w:val="279439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2016-05-16T05:12:00Z</dcterms:created>
  <dc:creator>video</dc:creator>
  <cp:lastModifiedBy>video</cp:lastModifiedBy>
  <dcterms:modified xsi:type="dcterms:W3CDTF">2016-05-16T05:12:29Z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