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60" w:lineRule="exact"/>
        <w:ind w:right="640"/>
        <w:jc w:val="left"/>
        <w:rPr>
          <w:rFonts w:ascii="方正仿宋_GBK" w:hAnsi="仿宋_GB2312" w:eastAsia="方正仿宋_GBK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仿宋_GB2312" w:eastAsia="方正仿宋_GBK"/>
          <w:kern w:val="0"/>
          <w:sz w:val="32"/>
          <w:szCs w:val="32"/>
          <w:shd w:val="clear" w:color="auto" w:fill="FFFFFF"/>
        </w:rPr>
        <w:t>附件1</w:t>
      </w:r>
    </w:p>
    <w:p>
      <w:pPr>
        <w:widowControl/>
        <w:shd w:val="clear" w:color="auto" w:fill="FFFFFF"/>
        <w:spacing w:line="460" w:lineRule="exact"/>
        <w:ind w:right="640"/>
        <w:jc w:val="center"/>
        <w:rPr>
          <w:rFonts w:hint="eastAsia" w:ascii="方正小标宋_GBK" w:hAnsi="仿宋_GB2312" w:eastAsia="方正小标宋_GBK"/>
          <w:kern w:val="0"/>
          <w:sz w:val="36"/>
          <w:szCs w:val="36"/>
          <w:shd w:val="clear" w:color="auto" w:fill="FFFFFF"/>
        </w:rPr>
      </w:pPr>
    </w:p>
    <w:p>
      <w:pPr>
        <w:widowControl/>
        <w:shd w:val="clear" w:color="auto" w:fill="FFFFFF"/>
        <w:spacing w:line="460" w:lineRule="exact"/>
        <w:ind w:right="640"/>
        <w:jc w:val="center"/>
        <w:rPr>
          <w:rFonts w:ascii="方正小标宋_GBK" w:eastAsia="方正小标宋_GBK"/>
          <w:kern w:val="0"/>
          <w:sz w:val="36"/>
          <w:szCs w:val="36"/>
          <w:shd w:val="clear" w:color="auto" w:fill="FFFFFF"/>
        </w:rPr>
      </w:pPr>
      <w:r>
        <w:rPr>
          <w:rFonts w:hint="eastAsia" w:ascii="方正小标宋_GBK" w:hAnsi="仿宋_GB2312" w:eastAsia="方正小标宋_GBK"/>
          <w:kern w:val="0"/>
          <w:sz w:val="36"/>
          <w:szCs w:val="36"/>
          <w:shd w:val="clear" w:color="auto" w:fill="FFFFFF"/>
        </w:rPr>
        <w:t>南通市文广旅系统部分事业单位202</w:t>
      </w:r>
      <w:r>
        <w:rPr>
          <w:rFonts w:hint="eastAsia" w:ascii="方正小标宋_GBK" w:hAnsi="仿宋_GB2312" w:eastAsia="方正小标宋_GBK"/>
          <w:kern w:val="0"/>
          <w:sz w:val="36"/>
          <w:szCs w:val="36"/>
          <w:shd w:val="clear" w:color="auto" w:fill="FFFFFF"/>
          <w:lang w:val="en-US" w:eastAsia="zh-CN"/>
        </w:rPr>
        <w:t>2</w:t>
      </w:r>
      <w:r>
        <w:rPr>
          <w:rFonts w:hint="eastAsia" w:ascii="方正小标宋_GBK" w:hAnsi="仿宋_GB2312" w:eastAsia="方正小标宋_GBK"/>
          <w:kern w:val="0"/>
          <w:sz w:val="36"/>
          <w:szCs w:val="36"/>
          <w:shd w:val="clear" w:color="auto" w:fill="FFFFFF"/>
        </w:rPr>
        <w:t>年公开招聘工作人员岗位简介表</w:t>
      </w:r>
      <w:r>
        <w:rPr>
          <w:rFonts w:hint="eastAsia" w:ascii="方正小标宋_GBK" w:eastAsia="方正小标宋_GBK"/>
          <w:kern w:val="0"/>
          <w:sz w:val="36"/>
          <w:szCs w:val="36"/>
          <w:shd w:val="clear" w:color="auto" w:fill="FFFFFF"/>
        </w:rPr>
        <w:t xml:space="preserve"> </w:t>
      </w:r>
    </w:p>
    <w:p>
      <w:pPr>
        <w:widowControl/>
        <w:shd w:val="clear" w:color="auto" w:fill="FFFFFF"/>
        <w:spacing w:line="460" w:lineRule="exact"/>
        <w:ind w:right="640"/>
        <w:jc w:val="center"/>
        <w:rPr>
          <w:rFonts w:eastAsia="仿宋_GB2312"/>
          <w:kern w:val="0"/>
          <w:sz w:val="32"/>
          <w:szCs w:val="32"/>
          <w:shd w:val="clear" w:color="auto" w:fill="FFFFFF"/>
        </w:rPr>
      </w:pPr>
    </w:p>
    <w:tbl>
      <w:tblPr>
        <w:tblStyle w:val="2"/>
        <w:tblW w:w="151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1479"/>
        <w:gridCol w:w="1055"/>
        <w:gridCol w:w="1125"/>
        <w:gridCol w:w="1410"/>
        <w:gridCol w:w="984"/>
        <w:gridCol w:w="1125"/>
        <w:gridCol w:w="2581"/>
        <w:gridCol w:w="1365"/>
        <w:gridCol w:w="34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tblHeader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岗位序号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Ansi="仿宋" w:eastAsia="仿宋" w:cs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单位名称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岗位类别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岗位等级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岗位名称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人数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招聘</w:t>
            </w:r>
          </w:p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对象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专业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学历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"/>
                <w:b/>
                <w:bCs/>
                <w:kern w:val="0"/>
                <w:sz w:val="20"/>
              </w:rPr>
            </w:pPr>
            <w:r>
              <w:rPr>
                <w:rFonts w:hint="eastAsia" w:hAnsi="仿宋" w:eastAsia="仿宋" w:cs="仿宋"/>
                <w:b/>
                <w:bCs/>
                <w:kern w:val="0"/>
                <w:sz w:val="20"/>
              </w:rPr>
              <w:t>其他条件和说明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四级演员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表演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 w:bidi="ar"/>
              </w:rPr>
              <w:t>话剧演员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13级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四级演员   （员级）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戏曲表演、越剧表演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Style w:val="4"/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 w:bidi="ar"/>
              </w:rPr>
              <w:t>越剧演员，女性。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13级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四级演员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（员级）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舞蹈表演、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舞蹈编导、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音乐与舞蹈学、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舞蹈学、歌舞表演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舞蹈演员，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1994年9月至2004年8月出生。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四级演员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音乐表演、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表演、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音乐与舞蹈学、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音乐学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声乐演员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南通艺术剧院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13级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舞台技术员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（员级）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录音技术与艺术、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录音艺术、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音像技术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拟从事舞台音响控制工作。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南通市个簃艺术馆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 w:bidi="ar-SA"/>
              </w:rPr>
              <w:t>12级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仿宋" w:eastAsia="仿宋" w:cs="仿宋"/>
                <w:kern w:val="0"/>
                <w:sz w:val="21"/>
                <w:lang w:val="en-US" w:eastAsia="zh-CN" w:bidi="ar-SA"/>
              </w:rPr>
            </w:pPr>
            <w:r>
              <w:rPr>
                <w:rFonts w:hint="eastAsia" w:hAnsi="仿宋" w:eastAsia="仿宋" w:cs="仿宋"/>
                <w:kern w:val="0"/>
              </w:rPr>
              <w:t>四级美术师</w:t>
            </w:r>
          </w:p>
        </w:tc>
        <w:tc>
          <w:tcPr>
            <w:tcW w:w="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仿宋" w:eastAsia="仿宋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hAnsi="仿宋" w:eastAsia="仿宋"/>
                <w:kern w:val="0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不限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color w:val="000000"/>
                <w:sz w:val="20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</w:rPr>
              <w:t>美术、美术学、绘画、中国画</w:t>
            </w:r>
            <w:r>
              <w:rPr>
                <w:rFonts w:hint="eastAsia" w:ascii="仿宋" w:hAnsi="仿宋" w:eastAsia="仿宋"/>
                <w:color w:val="000000"/>
                <w:sz w:val="20"/>
                <w:lang w:eastAsia="zh-CN"/>
              </w:rPr>
              <w:t>、书法学、中国画与书法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研究生</w:t>
            </w:r>
          </w:p>
        </w:tc>
        <w:tc>
          <w:tcPr>
            <w:tcW w:w="34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bookmarkStart w:id="0" w:name="OLE_LINK1"/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拟从事中国画、书法展览策展工作。</w:t>
            </w:r>
            <w:bookmarkEnd w:id="0"/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具备以下条件之一：</w:t>
            </w:r>
          </w:p>
          <w:p>
            <w:pPr>
              <w:widowControl/>
              <w:numPr>
                <w:ilvl w:val="0"/>
                <w:numId w:val="1"/>
              </w:numPr>
              <w:spacing w:line="240" w:lineRule="exact"/>
              <w:jc w:val="left"/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创作中国画、书法作品入选市级以上（含市级）展览或在市级（含市级）以上比赛中获奖（由党委政府及其组成部门主办或由美术家协会、书法家协会主办）；</w:t>
            </w:r>
          </w:p>
          <w:p>
            <w:pPr>
              <w:widowControl/>
              <w:numPr>
                <w:ilvl w:val="0"/>
                <w:numId w:val="1"/>
              </w:numPr>
              <w:spacing w:line="24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创作中国画、书法作品在省级（含省级）以上期刊发表。</w:t>
            </w:r>
          </w:p>
        </w:tc>
      </w:tr>
    </w:tbl>
    <w:p/>
    <w:p>
      <w:bookmarkStart w:id="1" w:name="_GoBack"/>
      <w:bookmarkEnd w:id="1"/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63471E"/>
    <w:multiLevelType w:val="singleLevel"/>
    <w:tmpl w:val="DD63471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1897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2022-09-23T06:41:58Z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37EFEF9C180040B9ACFE710DF129A617</vt:lpwstr>
  </property>
</Properties>
</file>