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8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表2 安家费和科研启动费发放标准（单位：元）</w:t>
      </w:r>
    </w:p>
    <w:tbl>
      <w:tblPr>
        <w:tblW w:w="5000" w:type="pct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63"/>
        <w:gridCol w:w="1179"/>
        <w:gridCol w:w="1179"/>
        <w:gridCol w:w="31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1700" w:type="pct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1400" w:type="pct"/>
            <w:gridSpan w:val="2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安家费</w:t>
            </w:r>
          </w:p>
        </w:tc>
        <w:tc>
          <w:tcPr>
            <w:tcW w:w="1850" w:type="pct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科研启动费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0" w:type="pct"/>
            <w:vMerge w:val="continue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购房</w:t>
            </w:r>
          </w:p>
        </w:tc>
        <w:tc>
          <w:tcPr>
            <w:tcW w:w="7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未购房</w:t>
            </w:r>
          </w:p>
        </w:tc>
        <w:tc>
          <w:tcPr>
            <w:tcW w:w="1850" w:type="pct"/>
            <w:vMerge w:val="continue"/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骨干人才A档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40万起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55万起</w:t>
            </w:r>
          </w:p>
        </w:tc>
        <w:tc>
          <w:tcPr>
            <w:tcW w:w="1850" w:type="pct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人文社科≥20万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自然科学≥40万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骨干人才B档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30万起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45万起</w:t>
            </w:r>
          </w:p>
        </w:tc>
        <w:tc>
          <w:tcPr>
            <w:tcW w:w="1850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0" w:type="pc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优秀师资A档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20万起</w:t>
            </w:r>
          </w:p>
        </w:tc>
        <w:tc>
          <w:tcPr>
            <w:tcW w:w="7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35万起</w:t>
            </w:r>
          </w:p>
        </w:tc>
        <w:tc>
          <w:tcPr>
            <w:tcW w:w="185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人文社科≥15万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自然科学≥25万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注：学校对引进的重点建设学科、紧缺学科人才，实行“一人一议”政策。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6EA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2022-10-14T01:18:41Z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459135FE9BEC487DA5014422E23AEE96</vt:lpwstr>
  </property>
</Properties>
</file>