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514"/>
        <w:gridCol w:w="514"/>
        <w:gridCol w:w="322"/>
        <w:gridCol w:w="994"/>
        <w:gridCol w:w="1685"/>
        <w:gridCol w:w="916"/>
        <w:gridCol w:w="2933"/>
        <w:gridCol w:w="3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正安县2023年引进吉他专业人才职位表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正安县吉他文化产业发展中心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二级学科：音乐表演（古典吉他）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二级学科：音乐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熟悉古典吉他弹奏。按正安县人才引进办法执行相关工资待遇。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正安县中等职业学校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二级学科：音乐表演（古典吉他）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二级学科：音乐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8F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2023-04-13T01:55:29Z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BD6A54F6F8C5441EBDEA9A724D69DEB6_12</vt:lpwstr>
  </property>
</Properties>
</file>